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C1" w:rsidRDefault="004760C1" w:rsidP="004760C1">
      <w:r w:rsidRPr="00687FD2">
        <w:rPr>
          <w:b/>
          <w:sz w:val="32"/>
          <w:szCs w:val="24"/>
        </w:rPr>
        <w:t xml:space="preserve">Alþjóðleg vídd á háskólastigi í Erasmus+ </w:t>
      </w:r>
      <w:r w:rsidR="009F1275">
        <w:rPr>
          <w:b/>
          <w:sz w:val="32"/>
          <w:szCs w:val="24"/>
        </w:rPr>
        <w:br/>
        <w:t xml:space="preserve">International </w:t>
      </w:r>
      <w:proofErr w:type="spellStart"/>
      <w:r w:rsidR="009F1275">
        <w:rPr>
          <w:b/>
          <w:sz w:val="32"/>
          <w:szCs w:val="24"/>
        </w:rPr>
        <w:t>Credit</w:t>
      </w:r>
      <w:proofErr w:type="spellEnd"/>
      <w:r w:rsidR="009F1275">
        <w:rPr>
          <w:b/>
          <w:sz w:val="32"/>
          <w:szCs w:val="24"/>
        </w:rPr>
        <w:t xml:space="preserve"> </w:t>
      </w:r>
      <w:proofErr w:type="spellStart"/>
      <w:r w:rsidR="009F1275">
        <w:rPr>
          <w:b/>
          <w:sz w:val="32"/>
          <w:szCs w:val="24"/>
        </w:rPr>
        <w:t>Mobility</w:t>
      </w:r>
      <w:proofErr w:type="spellEnd"/>
      <w:r w:rsidRPr="004760C1">
        <w:rPr>
          <w:sz w:val="24"/>
          <w:szCs w:val="24"/>
        </w:rPr>
        <w:br/>
      </w:r>
      <w:r w:rsidRPr="004760C1">
        <w:br/>
      </w:r>
      <w:r w:rsidR="00687FD2">
        <w:t>Frá árinu 2015 hafa</w:t>
      </w:r>
      <w:r>
        <w:t xml:space="preserve"> nemenda- og kennaraskipti til og frá landa utan þátttökulanda Erasmus+ </w:t>
      </w:r>
      <w:r w:rsidR="00687FD2">
        <w:t>verið hluti</w:t>
      </w:r>
      <w:r>
        <w:t xml:space="preserve"> af menntaáætlun Erasmus+.</w:t>
      </w:r>
    </w:p>
    <w:p w:rsidR="004760C1" w:rsidRDefault="004760C1" w:rsidP="002E53A9">
      <w:r>
        <w:t xml:space="preserve">Aðaláhersla þessa hluta sem </w:t>
      </w:r>
      <w:r w:rsidR="00AD00EC">
        <w:t>kölluð er</w:t>
      </w:r>
      <w:r>
        <w:t xml:space="preserve"> „alþjóðavídd“ í háskólastarfi innan Erasmus+ (</w:t>
      </w:r>
      <w:r w:rsidR="00DC78ED">
        <w:t>I</w:t>
      </w:r>
      <w:r>
        <w:t xml:space="preserve">nternational </w:t>
      </w:r>
      <w:proofErr w:type="spellStart"/>
      <w:r w:rsidR="00DC78ED">
        <w:t>C</w:t>
      </w:r>
      <w:r w:rsidR="00687FD2">
        <w:t>redit</w:t>
      </w:r>
      <w:proofErr w:type="spellEnd"/>
      <w:r w:rsidR="00687FD2">
        <w:t xml:space="preserve"> </w:t>
      </w:r>
      <w:proofErr w:type="spellStart"/>
      <w:r w:rsidR="00DC78ED">
        <w:t>M</w:t>
      </w:r>
      <w:r w:rsidR="00687FD2">
        <w:t>obility</w:t>
      </w:r>
      <w:proofErr w:type="spellEnd"/>
      <w:r w:rsidR="00687FD2">
        <w:t xml:space="preserve">) </w:t>
      </w:r>
      <w:r>
        <w:t>er á að fá stúdenta utan Evrópu til náms í Evrópu, en einnig að gefa stúdentum og kennurum /starfsmönnum tækifæri á að fara í skiptinám</w:t>
      </w:r>
      <w:r w:rsidR="00DC78ED">
        <w:t>, vettvangsheimsóknir</w:t>
      </w:r>
      <w:r>
        <w:t xml:space="preserve"> eða sinna kennslu í löndum</w:t>
      </w:r>
      <w:r w:rsidR="007F3362">
        <w:t xml:space="preserve"> </w:t>
      </w:r>
      <w:r>
        <w:t xml:space="preserve">utan þátttökulanda Erasmus+. </w:t>
      </w:r>
      <w:r w:rsidR="00687FD2">
        <w:t xml:space="preserve"> </w:t>
      </w:r>
      <w:r w:rsidR="009F1275">
        <w:t xml:space="preserve">Háskólarnir sjá um að sækja um þessa styrki og úthluta þeim til sinna stúdenta og starfsmanna. </w:t>
      </w:r>
      <w:r w:rsidR="00687FD2">
        <w:t>Ekki eru gerðar kröfur um ákveðið</w:t>
      </w:r>
      <w:r w:rsidR="0044322F">
        <w:t xml:space="preserve"> hlutfall</w:t>
      </w:r>
      <w:r w:rsidR="00687FD2">
        <w:t xml:space="preserve"> í stúdenta- og starfsmannaskiptum</w:t>
      </w:r>
      <w:r w:rsidR="0044322F">
        <w:t>.</w:t>
      </w:r>
      <w:r w:rsidR="002E53A9">
        <w:t xml:space="preserve"> Árið 2018 er </w:t>
      </w:r>
      <w:r w:rsidR="009D3B90">
        <w:t xml:space="preserve">í fyrsta sinn </w:t>
      </w:r>
      <w:r w:rsidR="002E53A9">
        <w:t xml:space="preserve">einnig </w:t>
      </w:r>
      <w:r w:rsidR="009D3B90">
        <w:t>boðið upp á s</w:t>
      </w:r>
      <w:r w:rsidR="002E53A9">
        <w:t>tarfsnámsstyrki.</w:t>
      </w:r>
    </w:p>
    <w:p w:rsidR="004760C1" w:rsidRDefault="004760C1" w:rsidP="004760C1">
      <w:r>
        <w:t xml:space="preserve">Löndum er skipt niður í </w:t>
      </w:r>
      <w:r w:rsidR="00687FD2">
        <w:t>5</w:t>
      </w:r>
      <w:r>
        <w:t xml:space="preserve"> flokka</w:t>
      </w:r>
      <w:r w:rsidR="00AD68DF">
        <w:t xml:space="preserve"> eftir heimshlutum</w:t>
      </w:r>
      <w:r w:rsidR="00687FD2">
        <w:t>;</w:t>
      </w:r>
      <w:r>
        <w:t xml:space="preserve"> DCI, ENI, </w:t>
      </w:r>
      <w:r w:rsidR="00687FD2">
        <w:t xml:space="preserve">PI, </w:t>
      </w:r>
      <w:r>
        <w:t xml:space="preserve">IPA og </w:t>
      </w:r>
      <w:r w:rsidR="00687FD2">
        <w:t>EDF</w:t>
      </w:r>
      <w:r>
        <w:t xml:space="preserve"> (sjá </w:t>
      </w:r>
      <w:r w:rsidR="00AD68DF">
        <w:t xml:space="preserve">hér að neðan fyrir </w:t>
      </w:r>
      <w:r>
        <w:t xml:space="preserve">hvað </w:t>
      </w:r>
      <w:r w:rsidR="0044322F">
        <w:t>hver flokkur stendur fyrir</w:t>
      </w:r>
      <w:r>
        <w:t>) og ákveðinni upphæð er úthlutað í hvern flokk fyrir sig. Ekki er hægt að færa fjármagn á milli flokka. Úthlutun fjármagns dreifist á milli 1</w:t>
      </w:r>
      <w:r w:rsidR="00AD00EC">
        <w:t>2</w:t>
      </w:r>
      <w:r>
        <w:t xml:space="preserve"> fjár</w:t>
      </w:r>
      <w:r w:rsidR="00AD68DF">
        <w:t>hags</w:t>
      </w:r>
      <w:r>
        <w:t>umsl</w:t>
      </w:r>
      <w:r w:rsidR="00060DDC">
        <w:t xml:space="preserve">aga </w:t>
      </w:r>
      <w:r>
        <w:t>(</w:t>
      </w:r>
      <w:proofErr w:type="spellStart"/>
      <w:r>
        <w:t>budget</w:t>
      </w:r>
      <w:proofErr w:type="spellEnd"/>
      <w:r>
        <w:t xml:space="preserve"> </w:t>
      </w:r>
      <w:proofErr w:type="spellStart"/>
      <w:r>
        <w:t>envelopes</w:t>
      </w:r>
      <w:proofErr w:type="spellEnd"/>
      <w:r>
        <w:t>). Ekki má</w:t>
      </w:r>
      <w:r w:rsidR="0044322F">
        <w:t xml:space="preserve"> heldur</w:t>
      </w:r>
      <w:r>
        <w:t xml:space="preserve"> færa fjármagn á milli umslaga, en</w:t>
      </w:r>
      <w:r w:rsidR="00060DDC">
        <w:t xml:space="preserve"> háskólar hafa </w:t>
      </w:r>
      <w:r>
        <w:t>10% svigrúm innan umslaga ti</w:t>
      </w:r>
      <w:r w:rsidR="00060DDC">
        <w:t>l endurúthlutunar</w:t>
      </w:r>
      <w:r>
        <w:t>. Búast má við að það verði</w:t>
      </w:r>
      <w:r w:rsidR="00060DDC">
        <w:t xml:space="preserve"> </w:t>
      </w:r>
      <w:r>
        <w:t xml:space="preserve">fleiri starfsmannaferðir </w:t>
      </w:r>
      <w:r w:rsidR="00687FD2">
        <w:t>fyrst um sinn</w:t>
      </w:r>
      <w:r>
        <w:t xml:space="preserve">, því líklegt er að háskólarnir vilji byrja á að senda starfsmenn til að ganga frá ýmsum málum við samstarfsskóla. </w:t>
      </w:r>
    </w:p>
    <w:p w:rsidR="004760C1" w:rsidRDefault="005D54FD" w:rsidP="004760C1">
      <w:pPr>
        <w:pStyle w:val="NoSpacing"/>
        <w:rPr>
          <w:b/>
        </w:rPr>
      </w:pPr>
      <w:r>
        <w:rPr>
          <w:b/>
        </w:rPr>
        <w:t>Áætluð s</w:t>
      </w:r>
      <w:r w:rsidR="004760C1" w:rsidRPr="00174CC3">
        <w:rPr>
          <w:b/>
        </w:rPr>
        <w:t xml:space="preserve">kipting fjármagns sem Ísland hefur til ráðstöfunar vegna </w:t>
      </w:r>
      <w:r w:rsidR="004760C1" w:rsidRPr="005D54FD">
        <w:rPr>
          <w:b/>
        </w:rPr>
        <w:t>umsóknarfrest</w:t>
      </w:r>
      <w:r w:rsidR="00513727" w:rsidRPr="005D54FD">
        <w:rPr>
          <w:b/>
        </w:rPr>
        <w:t>s</w:t>
      </w:r>
      <w:r w:rsidR="004760C1" w:rsidRPr="005D54FD">
        <w:rPr>
          <w:b/>
        </w:rPr>
        <w:t xml:space="preserve"> 201</w:t>
      </w:r>
      <w:r w:rsidRPr="005D54FD">
        <w:rPr>
          <w:b/>
        </w:rPr>
        <w:t>8</w:t>
      </w:r>
      <w:r w:rsidR="00DC78ED" w:rsidRPr="005D54FD">
        <w:rPr>
          <w:b/>
        </w:rPr>
        <w:t>.</w:t>
      </w:r>
    </w:p>
    <w:p w:rsidR="00687FD2" w:rsidRDefault="00687FD2" w:rsidP="004760C1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1"/>
        <w:gridCol w:w="955"/>
        <w:gridCol w:w="5386"/>
      </w:tblGrid>
      <w:tr w:rsidR="00AD00EC" w:rsidRPr="00223176" w:rsidTr="00AE5530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4"/>
              <w:gridCol w:w="1032"/>
              <w:gridCol w:w="5270"/>
            </w:tblGrid>
            <w:tr w:rsidR="00AD00EC" w:rsidRPr="00223176" w:rsidTr="00AE5530">
              <w:tc>
                <w:tcPr>
                  <w:tcW w:w="2544" w:type="dxa"/>
                </w:tcPr>
                <w:p w:rsidR="00AD00EC" w:rsidRPr="00223176" w:rsidRDefault="00AD00EC" w:rsidP="00AE5530">
                  <w:pPr>
                    <w:pStyle w:val="Default"/>
                    <w:rPr>
                      <w:rFonts w:asciiTheme="minorHAnsi" w:hAnsiTheme="minorHAnsi"/>
                      <w:b/>
                      <w:sz w:val="21"/>
                      <w:szCs w:val="18"/>
                    </w:rPr>
                  </w:pPr>
                  <w:proofErr w:type="spellStart"/>
                  <w:r w:rsidRPr="00223176">
                    <w:rPr>
                      <w:rFonts w:asciiTheme="minorHAnsi" w:hAnsiTheme="minorHAnsi"/>
                      <w:b/>
                      <w:sz w:val="21"/>
                      <w:szCs w:val="18"/>
                    </w:rPr>
                    <w:t>Budget</w:t>
                  </w:r>
                  <w:proofErr w:type="spellEnd"/>
                  <w:r w:rsidRPr="00223176">
                    <w:rPr>
                      <w:rFonts w:asciiTheme="minorHAnsi" w:hAnsiTheme="minorHAnsi"/>
                      <w:b/>
                      <w:sz w:val="21"/>
                      <w:szCs w:val="18"/>
                    </w:rPr>
                    <w:t xml:space="preserve"> </w:t>
                  </w:r>
                  <w:proofErr w:type="spellStart"/>
                  <w:r w:rsidRPr="00223176">
                    <w:rPr>
                      <w:rFonts w:asciiTheme="minorHAnsi" w:hAnsiTheme="minorHAnsi"/>
                      <w:b/>
                      <w:sz w:val="21"/>
                      <w:szCs w:val="18"/>
                    </w:rPr>
                    <w:t>envelopes</w:t>
                  </w:r>
                  <w:proofErr w:type="spellEnd"/>
                </w:p>
              </w:tc>
              <w:tc>
                <w:tcPr>
                  <w:tcW w:w="1032" w:type="dxa"/>
                </w:tcPr>
                <w:p w:rsidR="00AD00EC" w:rsidRPr="00223176" w:rsidRDefault="00AD00EC" w:rsidP="00AE5530">
                  <w:pPr>
                    <w:rPr>
                      <w:rFonts w:asciiTheme="minorHAnsi" w:hAnsiTheme="minorHAnsi"/>
                      <w:b/>
                      <w:sz w:val="21"/>
                      <w:szCs w:val="18"/>
                    </w:rPr>
                  </w:pPr>
                  <w:proofErr w:type="spellStart"/>
                  <w:r w:rsidRPr="00223176">
                    <w:rPr>
                      <w:b/>
                      <w:sz w:val="21"/>
                      <w:szCs w:val="18"/>
                    </w:rPr>
                    <w:t>Total</w:t>
                  </w:r>
                  <w:proofErr w:type="spellEnd"/>
                  <w:r w:rsidRPr="00223176">
                    <w:rPr>
                      <w:b/>
                      <w:sz w:val="21"/>
                      <w:szCs w:val="18"/>
                    </w:rPr>
                    <w:t xml:space="preserve"> </w:t>
                  </w:r>
                  <w:proofErr w:type="spellStart"/>
                  <w:r w:rsidRPr="00223176">
                    <w:rPr>
                      <w:b/>
                      <w:sz w:val="21"/>
                      <w:szCs w:val="18"/>
                    </w:rPr>
                    <w:t>in</w:t>
                  </w:r>
                  <w:proofErr w:type="spellEnd"/>
                  <w:r w:rsidRPr="00223176">
                    <w:rPr>
                      <w:b/>
                      <w:sz w:val="21"/>
                      <w:szCs w:val="18"/>
                    </w:rPr>
                    <w:t xml:space="preserve"> €</w:t>
                  </w:r>
                </w:p>
              </w:tc>
              <w:tc>
                <w:tcPr>
                  <w:tcW w:w="5270" w:type="dxa"/>
                </w:tcPr>
                <w:p w:rsidR="00AD00EC" w:rsidRPr="00223176" w:rsidRDefault="00AD00EC" w:rsidP="00AE5530">
                  <w:pPr>
                    <w:rPr>
                      <w:rFonts w:asciiTheme="minorHAnsi" w:hAnsiTheme="minorHAnsi"/>
                      <w:b/>
                      <w:sz w:val="21"/>
                      <w:szCs w:val="18"/>
                    </w:rPr>
                  </w:pPr>
                  <w:proofErr w:type="spellStart"/>
                  <w:r w:rsidRPr="00223176">
                    <w:rPr>
                      <w:rFonts w:asciiTheme="minorHAnsi" w:hAnsiTheme="minorHAnsi"/>
                      <w:b/>
                      <w:sz w:val="21"/>
                      <w:szCs w:val="18"/>
                    </w:rPr>
                    <w:t>Countries</w:t>
                  </w:r>
                  <w:proofErr w:type="spellEnd"/>
                  <w:r w:rsidRPr="00223176">
                    <w:rPr>
                      <w:rFonts w:asciiTheme="minorHAnsi" w:hAnsiTheme="minorHAnsi"/>
                      <w:b/>
                      <w:sz w:val="21"/>
                      <w:szCs w:val="18"/>
                    </w:rPr>
                    <w:t xml:space="preserve"> </w:t>
                  </w:r>
                  <w:proofErr w:type="spellStart"/>
                  <w:r w:rsidRPr="00223176">
                    <w:rPr>
                      <w:rFonts w:asciiTheme="minorHAnsi" w:hAnsiTheme="minorHAnsi"/>
                      <w:b/>
                      <w:sz w:val="21"/>
                      <w:szCs w:val="18"/>
                    </w:rPr>
                    <w:t>per</w:t>
                  </w:r>
                  <w:proofErr w:type="spellEnd"/>
                  <w:r w:rsidRPr="00223176">
                    <w:rPr>
                      <w:rFonts w:asciiTheme="minorHAnsi" w:hAnsiTheme="minorHAnsi"/>
                      <w:b/>
                      <w:sz w:val="21"/>
                      <w:szCs w:val="18"/>
                    </w:rPr>
                    <w:t xml:space="preserve"> </w:t>
                  </w:r>
                  <w:proofErr w:type="spellStart"/>
                  <w:r w:rsidRPr="00223176">
                    <w:rPr>
                      <w:rFonts w:asciiTheme="minorHAnsi" w:hAnsiTheme="minorHAnsi"/>
                      <w:b/>
                      <w:sz w:val="21"/>
                      <w:szCs w:val="18"/>
                    </w:rPr>
                    <w:t>envelope</w:t>
                  </w:r>
                  <w:proofErr w:type="spellEnd"/>
                </w:p>
              </w:tc>
            </w:tr>
          </w:tbl>
          <w:p w:rsidR="00AD00EC" w:rsidRPr="00223176" w:rsidRDefault="00AD00EC" w:rsidP="00AE553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D00EC" w:rsidRPr="00223176" w:rsidRDefault="00AD00EC" w:rsidP="00AE553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D00EC" w:rsidRPr="00223176" w:rsidRDefault="00AD00EC" w:rsidP="00AE553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23176">
              <w:rPr>
                <w:rFonts w:asciiTheme="minorHAnsi" w:hAnsiTheme="minorHAnsi"/>
                <w:b/>
                <w:bCs/>
                <w:sz w:val="21"/>
                <w:szCs w:val="18"/>
              </w:rPr>
              <w:t>European</w:t>
            </w:r>
            <w:proofErr w:type="spellEnd"/>
            <w:r w:rsidRPr="00223176">
              <w:rPr>
                <w:rFonts w:asciiTheme="minorHAnsi" w:hAnsiTheme="minorHAnsi"/>
                <w:b/>
                <w:bCs/>
                <w:sz w:val="21"/>
                <w:szCs w:val="18"/>
              </w:rPr>
              <w:t xml:space="preserve"> </w:t>
            </w:r>
            <w:proofErr w:type="spellStart"/>
            <w:r w:rsidRPr="00223176">
              <w:rPr>
                <w:rFonts w:asciiTheme="minorHAnsi" w:hAnsiTheme="minorHAnsi"/>
                <w:b/>
                <w:bCs/>
                <w:sz w:val="21"/>
                <w:szCs w:val="18"/>
              </w:rPr>
              <w:t>Neighbourhood</w:t>
            </w:r>
            <w:proofErr w:type="spellEnd"/>
            <w:r w:rsidRPr="00223176">
              <w:rPr>
                <w:rFonts w:asciiTheme="minorHAnsi" w:hAnsiTheme="minorHAnsi"/>
                <w:b/>
                <w:bCs/>
                <w:sz w:val="21"/>
                <w:szCs w:val="18"/>
              </w:rPr>
              <w:t xml:space="preserve"> </w:t>
            </w:r>
            <w:proofErr w:type="spellStart"/>
            <w:r w:rsidRPr="00223176">
              <w:rPr>
                <w:rFonts w:asciiTheme="minorHAnsi" w:hAnsiTheme="minorHAnsi"/>
                <w:b/>
                <w:bCs/>
                <w:sz w:val="21"/>
                <w:szCs w:val="18"/>
              </w:rPr>
              <w:t>Instrument</w:t>
            </w:r>
            <w:proofErr w:type="spellEnd"/>
            <w:r w:rsidRPr="00223176">
              <w:rPr>
                <w:rFonts w:asciiTheme="minorHAnsi" w:hAnsiTheme="minorHAnsi"/>
                <w:b/>
                <w:bCs/>
                <w:sz w:val="21"/>
                <w:szCs w:val="18"/>
              </w:rPr>
              <w:t xml:space="preserve"> (ENI)</w:t>
            </w:r>
          </w:p>
        </w:tc>
      </w:tr>
      <w:tr w:rsidR="00AD00EC" w:rsidRPr="00223176" w:rsidTr="00AE5530">
        <w:tc>
          <w:tcPr>
            <w:tcW w:w="2731" w:type="dxa"/>
            <w:tcBorders>
              <w:top w:val="single" w:sz="4" w:space="0" w:color="auto"/>
            </w:tcBorders>
            <w:vAlign w:val="center"/>
          </w:tcPr>
          <w:p w:rsidR="00AD00EC" w:rsidRPr="000D18CC" w:rsidRDefault="00AD00EC" w:rsidP="00AE5530">
            <w:pPr>
              <w:pStyle w:val="Default"/>
              <w:rPr>
                <w:rFonts w:asciiTheme="minorHAnsi" w:hAnsiTheme="minorHAnsi"/>
                <w:sz w:val="20"/>
                <w:szCs w:val="18"/>
              </w:rPr>
            </w:pPr>
            <w:r w:rsidRPr="000D18CC">
              <w:rPr>
                <w:rFonts w:asciiTheme="minorHAnsi" w:hAnsiTheme="minorHAnsi"/>
                <w:sz w:val="20"/>
                <w:szCs w:val="18"/>
              </w:rPr>
              <w:t xml:space="preserve">ENI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Eastern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Partnership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</w:p>
          <w:p w:rsidR="00AD00EC" w:rsidRPr="000D18CC" w:rsidRDefault="00AD00EC" w:rsidP="00AE5530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:rsidR="00AD00EC" w:rsidRPr="000D18CC" w:rsidRDefault="005D54FD" w:rsidP="00AE5530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44.742</w:t>
            </w:r>
            <w:r w:rsidR="00AD00EC" w:rsidRPr="000D18CC">
              <w:rPr>
                <w:rFonts w:asciiTheme="minorHAnsi" w:hAnsiTheme="minorHAnsi"/>
                <w:sz w:val="20"/>
                <w:szCs w:val="18"/>
              </w:rPr>
              <w:t xml:space="preserve"> €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AD00EC" w:rsidRPr="000D18CC" w:rsidRDefault="00AD00EC" w:rsidP="00AE5530">
            <w:pPr>
              <w:pStyle w:val="Default"/>
              <w:rPr>
                <w:rFonts w:asciiTheme="minorHAnsi" w:hAnsiTheme="minorHAnsi"/>
                <w:sz w:val="20"/>
                <w:szCs w:val="18"/>
              </w:rPr>
            </w:pP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Armenia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Azerbaijan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Belarus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Georgia,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Moldova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Territory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of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Ukraine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as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recognised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by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international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law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</w:p>
          <w:p w:rsidR="00AD00EC" w:rsidRPr="000D18CC" w:rsidRDefault="00AD00EC" w:rsidP="00AE5530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AD00EC" w:rsidRPr="00223176" w:rsidTr="00AE5530">
        <w:tc>
          <w:tcPr>
            <w:tcW w:w="2731" w:type="dxa"/>
            <w:tcBorders>
              <w:bottom w:val="single" w:sz="4" w:space="0" w:color="auto"/>
            </w:tcBorders>
            <w:vAlign w:val="center"/>
          </w:tcPr>
          <w:p w:rsidR="00AD00EC" w:rsidRPr="000D18CC" w:rsidRDefault="00AD00EC" w:rsidP="00AE5530">
            <w:pPr>
              <w:pStyle w:val="Default"/>
              <w:rPr>
                <w:rFonts w:asciiTheme="minorHAnsi" w:hAnsiTheme="minorHAnsi"/>
                <w:sz w:val="20"/>
                <w:szCs w:val="18"/>
              </w:rPr>
            </w:pPr>
            <w:r w:rsidRPr="000D18CC">
              <w:rPr>
                <w:rFonts w:asciiTheme="minorHAnsi" w:hAnsiTheme="minorHAnsi"/>
                <w:sz w:val="20"/>
                <w:szCs w:val="18"/>
              </w:rPr>
              <w:t xml:space="preserve">ENI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South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>-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Mediterranean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</w:p>
          <w:p w:rsidR="00AD00EC" w:rsidRPr="000D18CC" w:rsidRDefault="00AD00EC" w:rsidP="00AE5530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AD00EC" w:rsidRPr="000D18CC" w:rsidRDefault="005D54FD" w:rsidP="00AE5530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99.302</w:t>
            </w:r>
            <w:r w:rsidR="00AD00EC" w:rsidRPr="000D18CC">
              <w:rPr>
                <w:rFonts w:asciiTheme="minorHAnsi" w:hAnsiTheme="minorHAnsi"/>
                <w:sz w:val="20"/>
                <w:szCs w:val="18"/>
              </w:rPr>
              <w:t xml:space="preserve"> €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AD00EC" w:rsidRPr="000D18CC" w:rsidRDefault="00AD00EC" w:rsidP="00AE5530">
            <w:pPr>
              <w:pStyle w:val="Default"/>
              <w:rPr>
                <w:rFonts w:asciiTheme="minorHAnsi" w:hAnsiTheme="minorHAnsi"/>
                <w:sz w:val="20"/>
                <w:szCs w:val="18"/>
              </w:rPr>
            </w:pP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Algeria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Egypt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Israel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Jordan,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Lebanon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Libya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Morocco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Palestine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Syria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Tunisia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</w:p>
          <w:p w:rsidR="00AD00EC" w:rsidRPr="000D18CC" w:rsidRDefault="00AD00EC" w:rsidP="00AE5530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AD00EC" w:rsidRPr="00223176" w:rsidTr="00AE5530">
        <w:tc>
          <w:tcPr>
            <w:tcW w:w="2731" w:type="dxa"/>
            <w:tcBorders>
              <w:bottom w:val="single" w:sz="4" w:space="0" w:color="auto"/>
            </w:tcBorders>
            <w:vAlign w:val="center"/>
          </w:tcPr>
          <w:p w:rsidR="00AD00EC" w:rsidRPr="000D18CC" w:rsidRDefault="00AD00EC" w:rsidP="00AE5530">
            <w:pPr>
              <w:pStyle w:val="Default"/>
              <w:rPr>
                <w:rFonts w:asciiTheme="minorHAnsi" w:hAnsiTheme="minorHAnsi"/>
                <w:sz w:val="20"/>
                <w:szCs w:val="18"/>
              </w:rPr>
            </w:pPr>
            <w:r w:rsidRPr="000D18CC">
              <w:rPr>
                <w:rFonts w:asciiTheme="minorHAnsi" w:hAnsiTheme="minorHAnsi"/>
                <w:sz w:val="20"/>
                <w:szCs w:val="18"/>
              </w:rPr>
              <w:t xml:space="preserve">ENI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Russian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Federation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</w:p>
          <w:p w:rsidR="00AD00EC" w:rsidRPr="000D18CC" w:rsidRDefault="00AD00EC" w:rsidP="00AE5530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AD00EC" w:rsidRPr="000D18CC" w:rsidRDefault="005D54FD" w:rsidP="00AE5530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43.438</w:t>
            </w:r>
            <w:r w:rsidR="00AD00EC" w:rsidRPr="000D18CC">
              <w:rPr>
                <w:rFonts w:asciiTheme="minorHAnsi" w:hAnsiTheme="minorHAnsi"/>
                <w:sz w:val="20"/>
                <w:szCs w:val="18"/>
              </w:rPr>
              <w:t xml:space="preserve"> €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AD00EC" w:rsidRPr="000D18CC" w:rsidRDefault="00AD00EC" w:rsidP="00AE5530">
            <w:pPr>
              <w:pStyle w:val="Default"/>
              <w:rPr>
                <w:rFonts w:asciiTheme="minorHAnsi" w:hAnsiTheme="minorHAnsi"/>
                <w:sz w:val="20"/>
                <w:szCs w:val="18"/>
              </w:rPr>
            </w:pP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Territory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of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Russia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as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recognised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by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international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law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</w:p>
        </w:tc>
      </w:tr>
      <w:tr w:rsidR="005D54FD" w:rsidRPr="00223176" w:rsidTr="00AE5530">
        <w:tc>
          <w:tcPr>
            <w:tcW w:w="2731" w:type="dxa"/>
            <w:tcBorders>
              <w:bottom w:val="single" w:sz="4" w:space="0" w:color="auto"/>
            </w:tcBorders>
            <w:vAlign w:val="center"/>
          </w:tcPr>
          <w:p w:rsidR="005D54FD" w:rsidRPr="000D18CC" w:rsidRDefault="005D54FD" w:rsidP="00AE5530">
            <w:pPr>
              <w:pStyle w:val="Default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 xml:space="preserve">ENI </w:t>
            </w:r>
            <w:proofErr w:type="spellStart"/>
            <w:r>
              <w:rPr>
                <w:rFonts w:asciiTheme="minorHAnsi" w:hAnsiTheme="minorHAnsi"/>
                <w:sz w:val="20"/>
                <w:szCs w:val="18"/>
              </w:rPr>
              <w:t>Tunisia</w:t>
            </w:r>
            <w:proofErr w:type="spellEnd"/>
            <w:r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18"/>
              </w:rPr>
              <w:t>Window</w:t>
            </w:r>
            <w:proofErr w:type="spellEnd"/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5D54FD" w:rsidRPr="000D18CC" w:rsidRDefault="005D54FD" w:rsidP="00AE5530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20.000 €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5D54FD" w:rsidRPr="000D18CC" w:rsidRDefault="005D54FD" w:rsidP="00AE5530">
            <w:pPr>
              <w:pStyle w:val="Default"/>
              <w:rPr>
                <w:rFonts w:asciiTheme="minorHAnsi" w:hAnsiTheme="minorHAnsi"/>
                <w:sz w:val="20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18"/>
              </w:rPr>
              <w:t>Tunisa</w:t>
            </w:r>
            <w:proofErr w:type="spellEnd"/>
            <w:r>
              <w:rPr>
                <w:rFonts w:asciiTheme="minorHAnsi" w:hAnsiTheme="minorHAnsi"/>
                <w:sz w:val="20"/>
                <w:szCs w:val="18"/>
              </w:rPr>
              <w:t xml:space="preserve"> </w:t>
            </w:r>
          </w:p>
        </w:tc>
      </w:tr>
      <w:tr w:rsidR="00AD00EC" w:rsidRPr="00223176" w:rsidTr="00AE5530"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0EC" w:rsidRPr="00223176" w:rsidRDefault="00AD00EC" w:rsidP="00AE553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D00EC" w:rsidRPr="00223176" w:rsidRDefault="00AD00EC" w:rsidP="00AE553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23176">
              <w:rPr>
                <w:rFonts w:asciiTheme="minorHAnsi" w:hAnsiTheme="minorHAnsi"/>
                <w:b/>
                <w:bCs/>
                <w:sz w:val="21"/>
                <w:szCs w:val="18"/>
              </w:rPr>
              <w:t>Instrument</w:t>
            </w:r>
            <w:proofErr w:type="spellEnd"/>
            <w:r w:rsidRPr="00223176">
              <w:rPr>
                <w:rFonts w:asciiTheme="minorHAnsi" w:hAnsiTheme="minorHAnsi"/>
                <w:b/>
                <w:bCs/>
                <w:sz w:val="21"/>
                <w:szCs w:val="18"/>
              </w:rPr>
              <w:t xml:space="preserve"> for </w:t>
            </w:r>
            <w:proofErr w:type="spellStart"/>
            <w:r w:rsidRPr="00223176">
              <w:rPr>
                <w:rFonts w:asciiTheme="minorHAnsi" w:hAnsiTheme="minorHAnsi"/>
                <w:b/>
                <w:bCs/>
                <w:sz w:val="21"/>
                <w:szCs w:val="18"/>
              </w:rPr>
              <w:t>Pre</w:t>
            </w:r>
            <w:proofErr w:type="spellEnd"/>
            <w:r w:rsidRPr="00223176">
              <w:rPr>
                <w:rFonts w:asciiTheme="minorHAnsi" w:hAnsiTheme="minorHAnsi"/>
                <w:b/>
                <w:bCs/>
                <w:sz w:val="21"/>
                <w:szCs w:val="18"/>
              </w:rPr>
              <w:t>-</w:t>
            </w:r>
            <w:proofErr w:type="spellStart"/>
            <w:r w:rsidRPr="00223176">
              <w:rPr>
                <w:rFonts w:asciiTheme="minorHAnsi" w:hAnsiTheme="minorHAnsi"/>
                <w:b/>
                <w:bCs/>
                <w:sz w:val="21"/>
                <w:szCs w:val="18"/>
              </w:rPr>
              <w:t>Accession</w:t>
            </w:r>
            <w:proofErr w:type="spellEnd"/>
            <w:r w:rsidRPr="00223176">
              <w:rPr>
                <w:rFonts w:asciiTheme="minorHAnsi" w:hAnsiTheme="minorHAnsi"/>
                <w:b/>
                <w:bCs/>
                <w:sz w:val="21"/>
                <w:szCs w:val="18"/>
              </w:rPr>
              <w:t xml:space="preserve"> (IPA)</w:t>
            </w:r>
          </w:p>
        </w:tc>
      </w:tr>
      <w:tr w:rsidR="00AD00EC" w:rsidRPr="00223176" w:rsidTr="00AE5530"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0EC" w:rsidRPr="000D18CC" w:rsidRDefault="00AD00EC" w:rsidP="00AE5530">
            <w:pPr>
              <w:pStyle w:val="Default"/>
              <w:rPr>
                <w:rFonts w:asciiTheme="minorHAnsi" w:hAnsiTheme="minorHAnsi"/>
                <w:sz w:val="20"/>
                <w:szCs w:val="18"/>
              </w:rPr>
            </w:pPr>
            <w:r w:rsidRPr="000D18CC">
              <w:rPr>
                <w:rFonts w:asciiTheme="minorHAnsi" w:hAnsiTheme="minorHAnsi"/>
                <w:sz w:val="20"/>
                <w:szCs w:val="18"/>
              </w:rPr>
              <w:t xml:space="preserve">IPA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Western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Balkans 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0EC" w:rsidRPr="000D18CC" w:rsidRDefault="00AD00EC" w:rsidP="00AE5530">
            <w:pPr>
              <w:rPr>
                <w:rFonts w:asciiTheme="minorHAnsi" w:hAnsiTheme="minorHAnsi"/>
                <w:sz w:val="20"/>
                <w:szCs w:val="18"/>
              </w:rPr>
            </w:pPr>
            <w:r w:rsidRPr="000D18CC">
              <w:rPr>
                <w:rFonts w:asciiTheme="minorHAnsi" w:hAnsiTheme="minorHAnsi"/>
                <w:sz w:val="20"/>
                <w:szCs w:val="18"/>
              </w:rPr>
              <w:t>68.351 €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0EC" w:rsidRPr="000D18CC" w:rsidRDefault="00AD00EC" w:rsidP="00AE5530">
            <w:pPr>
              <w:pStyle w:val="Default"/>
              <w:rPr>
                <w:rFonts w:asciiTheme="minorHAnsi" w:hAnsiTheme="minorHAnsi"/>
                <w:sz w:val="20"/>
                <w:szCs w:val="18"/>
              </w:rPr>
            </w:pP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Albania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Bosnia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and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Herzegovina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Kosovo,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Montenegro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Serbia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</w:p>
        </w:tc>
      </w:tr>
      <w:tr w:rsidR="00AD00EC" w:rsidRPr="00223176" w:rsidTr="00AE5530"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0EC" w:rsidRPr="00223176" w:rsidRDefault="00AD00EC" w:rsidP="00AE5530">
            <w:pPr>
              <w:rPr>
                <w:rFonts w:asciiTheme="minorHAnsi" w:hAnsiTheme="minorHAnsi"/>
                <w:sz w:val="21"/>
                <w:szCs w:val="18"/>
              </w:rPr>
            </w:pPr>
          </w:p>
          <w:p w:rsidR="00AD00EC" w:rsidRPr="00223176" w:rsidRDefault="00AD00EC" w:rsidP="00AE553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23176">
              <w:rPr>
                <w:rFonts w:asciiTheme="minorHAnsi" w:hAnsiTheme="minorHAnsi"/>
                <w:b/>
                <w:bCs/>
                <w:sz w:val="21"/>
                <w:szCs w:val="18"/>
              </w:rPr>
              <w:t>Development</w:t>
            </w:r>
            <w:proofErr w:type="spellEnd"/>
            <w:r w:rsidRPr="00223176">
              <w:rPr>
                <w:rFonts w:asciiTheme="minorHAnsi" w:hAnsiTheme="minorHAnsi"/>
                <w:b/>
                <w:bCs/>
                <w:sz w:val="21"/>
                <w:szCs w:val="18"/>
              </w:rPr>
              <w:t xml:space="preserve"> </w:t>
            </w:r>
            <w:proofErr w:type="spellStart"/>
            <w:r w:rsidRPr="00223176">
              <w:rPr>
                <w:rFonts w:asciiTheme="minorHAnsi" w:hAnsiTheme="minorHAnsi"/>
                <w:b/>
                <w:bCs/>
                <w:sz w:val="21"/>
                <w:szCs w:val="18"/>
              </w:rPr>
              <w:t>Co</w:t>
            </w:r>
            <w:proofErr w:type="spellEnd"/>
            <w:r w:rsidRPr="00223176">
              <w:rPr>
                <w:rFonts w:asciiTheme="minorHAnsi" w:hAnsiTheme="minorHAnsi"/>
                <w:b/>
                <w:bCs/>
                <w:sz w:val="21"/>
                <w:szCs w:val="18"/>
              </w:rPr>
              <w:t>-</w:t>
            </w:r>
            <w:proofErr w:type="spellStart"/>
            <w:r w:rsidRPr="00223176">
              <w:rPr>
                <w:rFonts w:asciiTheme="minorHAnsi" w:hAnsiTheme="minorHAnsi"/>
                <w:b/>
                <w:bCs/>
                <w:sz w:val="21"/>
                <w:szCs w:val="18"/>
              </w:rPr>
              <w:t>operation</w:t>
            </w:r>
            <w:proofErr w:type="spellEnd"/>
            <w:r w:rsidRPr="00223176">
              <w:rPr>
                <w:rFonts w:asciiTheme="minorHAnsi" w:hAnsiTheme="minorHAnsi"/>
                <w:b/>
                <w:bCs/>
                <w:sz w:val="21"/>
                <w:szCs w:val="18"/>
              </w:rPr>
              <w:t xml:space="preserve"> </w:t>
            </w:r>
            <w:proofErr w:type="spellStart"/>
            <w:r w:rsidRPr="00223176">
              <w:rPr>
                <w:rFonts w:asciiTheme="minorHAnsi" w:hAnsiTheme="minorHAnsi"/>
                <w:b/>
                <w:bCs/>
                <w:sz w:val="21"/>
                <w:szCs w:val="18"/>
              </w:rPr>
              <w:t>Instrument</w:t>
            </w:r>
            <w:proofErr w:type="spellEnd"/>
            <w:r w:rsidRPr="00223176">
              <w:rPr>
                <w:rFonts w:asciiTheme="minorHAnsi" w:hAnsiTheme="minorHAnsi"/>
                <w:b/>
                <w:bCs/>
                <w:sz w:val="21"/>
                <w:szCs w:val="18"/>
              </w:rPr>
              <w:t xml:space="preserve"> (DCI)</w:t>
            </w:r>
          </w:p>
        </w:tc>
      </w:tr>
      <w:tr w:rsidR="00AD00EC" w:rsidRPr="00223176" w:rsidTr="00AE5530">
        <w:tc>
          <w:tcPr>
            <w:tcW w:w="2731" w:type="dxa"/>
            <w:tcBorders>
              <w:top w:val="single" w:sz="4" w:space="0" w:color="auto"/>
            </w:tcBorders>
            <w:vAlign w:val="center"/>
          </w:tcPr>
          <w:p w:rsidR="00AD00EC" w:rsidRPr="000D18CC" w:rsidRDefault="00AD00EC" w:rsidP="00AE5530">
            <w:pPr>
              <w:pStyle w:val="Default"/>
              <w:rPr>
                <w:rFonts w:asciiTheme="minorHAnsi" w:hAnsiTheme="minorHAnsi"/>
                <w:sz w:val="20"/>
                <w:szCs w:val="18"/>
              </w:rPr>
            </w:pPr>
            <w:r w:rsidRPr="000D18CC">
              <w:rPr>
                <w:rFonts w:asciiTheme="minorHAnsi" w:hAnsiTheme="minorHAnsi"/>
                <w:sz w:val="20"/>
                <w:szCs w:val="18"/>
              </w:rPr>
              <w:t xml:space="preserve">DCI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Asia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</w:p>
          <w:p w:rsidR="00AD00EC" w:rsidRPr="000D18CC" w:rsidRDefault="00AD00EC" w:rsidP="00AE5530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:rsidR="00AD00EC" w:rsidRPr="000D18CC" w:rsidRDefault="005D54FD" w:rsidP="00AE5530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53.225</w:t>
            </w:r>
            <w:r w:rsidR="00AD00EC" w:rsidRPr="000D18CC">
              <w:rPr>
                <w:rFonts w:asciiTheme="minorHAnsi" w:hAnsiTheme="minorHAnsi"/>
                <w:sz w:val="20"/>
                <w:szCs w:val="18"/>
              </w:rPr>
              <w:t xml:space="preserve"> €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AD00EC" w:rsidRPr="000D18CC" w:rsidRDefault="00AD00EC" w:rsidP="00AE5530">
            <w:pPr>
              <w:pStyle w:val="Default"/>
              <w:rPr>
                <w:rFonts w:asciiTheme="minorHAnsi" w:hAnsiTheme="minorHAnsi"/>
                <w:sz w:val="20"/>
                <w:szCs w:val="18"/>
              </w:rPr>
            </w:pP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Afghanistan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Bangladesh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Bhutan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Cambodia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China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DPR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Korea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India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Indonesia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Laos,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Malaysia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Maldives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Mongolia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Myanmar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Nepal, Pakistan,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Philippines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Sri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Lanka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Thailand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and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Vietnam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</w:p>
        </w:tc>
      </w:tr>
      <w:tr w:rsidR="00AD00EC" w:rsidRPr="00223176" w:rsidTr="00AE5530">
        <w:tc>
          <w:tcPr>
            <w:tcW w:w="2731" w:type="dxa"/>
            <w:vAlign w:val="center"/>
          </w:tcPr>
          <w:p w:rsidR="00AD00EC" w:rsidRPr="000D18CC" w:rsidRDefault="00AD00EC" w:rsidP="00AE5530">
            <w:pPr>
              <w:pStyle w:val="Default"/>
              <w:rPr>
                <w:rFonts w:asciiTheme="minorHAnsi" w:hAnsiTheme="minorHAnsi"/>
                <w:sz w:val="20"/>
                <w:szCs w:val="18"/>
              </w:rPr>
            </w:pPr>
            <w:r w:rsidRPr="000D18CC">
              <w:rPr>
                <w:rFonts w:asciiTheme="minorHAnsi" w:hAnsiTheme="minorHAnsi"/>
                <w:sz w:val="20"/>
                <w:szCs w:val="18"/>
              </w:rPr>
              <w:t xml:space="preserve">DCI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Central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Asia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</w:p>
          <w:p w:rsidR="00AD00EC" w:rsidRPr="000D18CC" w:rsidRDefault="00AD00EC" w:rsidP="00AE5530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AD00EC" w:rsidRPr="000D18CC" w:rsidRDefault="005D54FD" w:rsidP="00AE5530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11.561</w:t>
            </w:r>
            <w:r w:rsidR="00AD00EC" w:rsidRPr="000D18CC">
              <w:rPr>
                <w:rFonts w:asciiTheme="minorHAnsi" w:hAnsiTheme="minorHAnsi"/>
                <w:sz w:val="20"/>
                <w:szCs w:val="18"/>
              </w:rPr>
              <w:t xml:space="preserve"> €</w:t>
            </w:r>
          </w:p>
        </w:tc>
        <w:tc>
          <w:tcPr>
            <w:tcW w:w="5386" w:type="dxa"/>
            <w:vAlign w:val="center"/>
          </w:tcPr>
          <w:p w:rsidR="00AD00EC" w:rsidRPr="000D18CC" w:rsidRDefault="00AD00EC" w:rsidP="00AE5530">
            <w:pPr>
              <w:pStyle w:val="Default"/>
              <w:rPr>
                <w:rFonts w:asciiTheme="minorHAnsi" w:hAnsiTheme="minorHAnsi"/>
                <w:sz w:val="20"/>
                <w:szCs w:val="18"/>
              </w:rPr>
            </w:pP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Kazakhstan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Kyrgyzstan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Tajikistan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Turkmenistan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Uzbekistan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</w:p>
          <w:p w:rsidR="00AD00EC" w:rsidRPr="000D18CC" w:rsidRDefault="00AD00EC" w:rsidP="00AE5530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AD00EC" w:rsidRPr="00223176" w:rsidTr="00AE5530">
        <w:tc>
          <w:tcPr>
            <w:tcW w:w="2731" w:type="dxa"/>
            <w:vAlign w:val="center"/>
          </w:tcPr>
          <w:p w:rsidR="00AD00EC" w:rsidRPr="000D18CC" w:rsidRDefault="00AD00EC" w:rsidP="00AE5530">
            <w:pPr>
              <w:pStyle w:val="Default"/>
              <w:rPr>
                <w:rFonts w:asciiTheme="minorHAnsi" w:hAnsiTheme="minorHAnsi"/>
                <w:sz w:val="20"/>
                <w:szCs w:val="18"/>
              </w:rPr>
            </w:pPr>
            <w:r w:rsidRPr="000D18CC">
              <w:rPr>
                <w:rFonts w:asciiTheme="minorHAnsi" w:hAnsiTheme="minorHAnsi"/>
                <w:sz w:val="20"/>
                <w:szCs w:val="18"/>
              </w:rPr>
              <w:t xml:space="preserve">DCI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Latin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America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</w:p>
          <w:p w:rsidR="00AD00EC" w:rsidRPr="000D18CC" w:rsidRDefault="00AD00EC" w:rsidP="00AE5530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AD00EC" w:rsidRPr="000D18CC" w:rsidRDefault="005D54FD" w:rsidP="00AE5530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17.260</w:t>
            </w:r>
            <w:r w:rsidR="00AD00EC" w:rsidRPr="000D18CC">
              <w:rPr>
                <w:rFonts w:asciiTheme="minorHAnsi" w:hAnsiTheme="minorHAnsi"/>
                <w:sz w:val="20"/>
                <w:szCs w:val="18"/>
              </w:rPr>
              <w:t xml:space="preserve"> €</w:t>
            </w:r>
          </w:p>
        </w:tc>
        <w:tc>
          <w:tcPr>
            <w:tcW w:w="5386" w:type="dxa"/>
            <w:vAlign w:val="center"/>
          </w:tcPr>
          <w:p w:rsidR="00AD00EC" w:rsidRPr="000D18CC" w:rsidRDefault="00AD00EC" w:rsidP="00AE5530">
            <w:pPr>
              <w:pStyle w:val="Default"/>
              <w:rPr>
                <w:rFonts w:asciiTheme="minorHAnsi" w:hAnsiTheme="minorHAnsi"/>
                <w:sz w:val="20"/>
                <w:szCs w:val="18"/>
              </w:rPr>
            </w:pP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Argentina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Bolivia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Brazil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Chile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Colombia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Costa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Rica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Cuba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Ecuador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El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Salvador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Guatemala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Honduras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Mexico,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Nicaragua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Panama, Paraguay, Peru,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Uruguay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Venezuela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</w:p>
        </w:tc>
      </w:tr>
      <w:tr w:rsidR="00AD00EC" w:rsidRPr="00223176" w:rsidTr="00AE5530">
        <w:tc>
          <w:tcPr>
            <w:tcW w:w="2731" w:type="dxa"/>
            <w:tcBorders>
              <w:bottom w:val="single" w:sz="4" w:space="0" w:color="auto"/>
            </w:tcBorders>
            <w:vAlign w:val="center"/>
          </w:tcPr>
          <w:p w:rsidR="00AD00EC" w:rsidRPr="000D18CC" w:rsidRDefault="00AD00EC" w:rsidP="00AE5530">
            <w:pPr>
              <w:pStyle w:val="Default"/>
              <w:rPr>
                <w:rFonts w:asciiTheme="minorHAnsi" w:hAnsiTheme="minorHAnsi"/>
                <w:sz w:val="20"/>
                <w:szCs w:val="18"/>
              </w:rPr>
            </w:pPr>
            <w:r w:rsidRPr="000D18CC">
              <w:rPr>
                <w:rFonts w:asciiTheme="minorHAnsi" w:hAnsiTheme="minorHAnsi"/>
                <w:sz w:val="20"/>
                <w:szCs w:val="18"/>
              </w:rPr>
              <w:t xml:space="preserve">DCI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Middle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East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AD00EC" w:rsidRPr="000D18CC" w:rsidRDefault="005D54FD" w:rsidP="00AE5530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7.990</w:t>
            </w:r>
            <w:r w:rsidR="00AD00EC" w:rsidRPr="000D18CC">
              <w:rPr>
                <w:rFonts w:asciiTheme="minorHAnsi" w:hAnsiTheme="minorHAnsi"/>
                <w:sz w:val="20"/>
                <w:szCs w:val="18"/>
              </w:rPr>
              <w:t xml:space="preserve"> €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AD00EC" w:rsidRPr="000D18CC" w:rsidRDefault="00AD00EC" w:rsidP="005D54FD">
            <w:pPr>
              <w:pStyle w:val="Default"/>
              <w:rPr>
                <w:rFonts w:asciiTheme="minorHAnsi" w:hAnsiTheme="minorHAnsi"/>
                <w:sz w:val="20"/>
                <w:szCs w:val="18"/>
              </w:rPr>
            </w:pP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Iran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Iraq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Yemen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</w:p>
        </w:tc>
      </w:tr>
      <w:tr w:rsidR="00AD00EC" w:rsidRPr="00223176" w:rsidTr="00AE5530">
        <w:tc>
          <w:tcPr>
            <w:tcW w:w="2731" w:type="dxa"/>
            <w:tcBorders>
              <w:bottom w:val="single" w:sz="4" w:space="0" w:color="auto"/>
            </w:tcBorders>
            <w:vAlign w:val="center"/>
          </w:tcPr>
          <w:p w:rsidR="00AD00EC" w:rsidRPr="000D18CC" w:rsidRDefault="00AD00EC" w:rsidP="005D54FD">
            <w:pPr>
              <w:pStyle w:val="Default"/>
              <w:rPr>
                <w:rFonts w:asciiTheme="minorHAnsi" w:hAnsiTheme="minorHAnsi"/>
                <w:sz w:val="20"/>
                <w:szCs w:val="18"/>
              </w:rPr>
            </w:pPr>
            <w:r w:rsidRPr="000D18CC">
              <w:rPr>
                <w:rFonts w:asciiTheme="minorHAnsi" w:hAnsiTheme="minorHAnsi"/>
                <w:sz w:val="20"/>
                <w:szCs w:val="18"/>
              </w:rPr>
              <w:t xml:space="preserve">DCI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South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Africa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AD00EC" w:rsidRPr="000D18CC" w:rsidRDefault="005D54FD" w:rsidP="00AE5530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4.985</w:t>
            </w:r>
            <w:r w:rsidR="00AD00EC" w:rsidRPr="000D18CC">
              <w:rPr>
                <w:rFonts w:asciiTheme="minorHAnsi" w:hAnsiTheme="minorHAnsi"/>
                <w:sz w:val="20"/>
                <w:szCs w:val="18"/>
              </w:rPr>
              <w:t xml:space="preserve"> €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5D54FD" w:rsidRPr="000D18CC" w:rsidRDefault="00AD00EC" w:rsidP="00AE5530">
            <w:pPr>
              <w:pStyle w:val="Default"/>
              <w:rPr>
                <w:rFonts w:asciiTheme="minorHAnsi" w:hAnsiTheme="minorHAnsi"/>
                <w:sz w:val="20"/>
                <w:szCs w:val="18"/>
              </w:rPr>
            </w:pP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South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Africa</w:t>
            </w:r>
            <w:proofErr w:type="spellEnd"/>
          </w:p>
        </w:tc>
      </w:tr>
      <w:tr w:rsidR="00AD00EC" w:rsidRPr="00223176" w:rsidTr="00AE5530"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4FD" w:rsidRDefault="00AD00EC" w:rsidP="00AE5530">
            <w:pPr>
              <w:rPr>
                <w:rFonts w:asciiTheme="minorHAnsi" w:hAnsiTheme="minorHAnsi"/>
                <w:b/>
                <w:bCs/>
                <w:sz w:val="21"/>
                <w:szCs w:val="18"/>
              </w:rPr>
            </w:pPr>
            <w:r>
              <w:rPr>
                <w:b/>
                <w:bCs/>
                <w:sz w:val="21"/>
                <w:szCs w:val="18"/>
              </w:rPr>
              <w:lastRenderedPageBreak/>
              <w:br/>
            </w:r>
            <w:proofErr w:type="spellStart"/>
            <w:r w:rsidR="005D54FD">
              <w:rPr>
                <w:rFonts w:asciiTheme="minorHAnsi" w:hAnsiTheme="minorHAnsi"/>
                <w:b/>
                <w:bCs/>
                <w:sz w:val="21"/>
                <w:szCs w:val="18"/>
              </w:rPr>
              <w:t>Partnership</w:t>
            </w:r>
            <w:proofErr w:type="spellEnd"/>
            <w:r w:rsidR="005D54FD">
              <w:rPr>
                <w:rFonts w:asciiTheme="minorHAnsi" w:hAnsiTheme="minorHAnsi"/>
                <w:b/>
                <w:bCs/>
                <w:sz w:val="21"/>
                <w:szCs w:val="18"/>
              </w:rPr>
              <w:t xml:space="preserve"> </w:t>
            </w:r>
            <w:proofErr w:type="spellStart"/>
            <w:r w:rsidR="005D54FD">
              <w:rPr>
                <w:rFonts w:asciiTheme="minorHAnsi" w:hAnsiTheme="minorHAnsi"/>
                <w:b/>
                <w:bCs/>
                <w:sz w:val="21"/>
                <w:szCs w:val="18"/>
              </w:rPr>
              <w:t>Intrument</w:t>
            </w:r>
            <w:proofErr w:type="spellEnd"/>
            <w:r w:rsidR="005D54FD">
              <w:rPr>
                <w:rFonts w:asciiTheme="minorHAnsi" w:hAnsiTheme="minorHAnsi"/>
                <w:b/>
                <w:bCs/>
                <w:sz w:val="21"/>
                <w:szCs w:val="18"/>
              </w:rPr>
              <w:t xml:space="preserve"> (PI)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68"/>
              <w:gridCol w:w="988"/>
              <w:gridCol w:w="5190"/>
            </w:tblGrid>
            <w:tr w:rsidR="005D54FD" w:rsidTr="005D54FD"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D54FD" w:rsidRPr="000D18CC" w:rsidRDefault="005D54FD" w:rsidP="005D54FD">
                  <w:pPr>
                    <w:pStyle w:val="Default"/>
                    <w:rPr>
                      <w:rFonts w:asciiTheme="minorHAnsi" w:hAnsiTheme="minorHAnsi"/>
                      <w:sz w:val="20"/>
                      <w:szCs w:val="18"/>
                    </w:rPr>
                  </w:pPr>
                  <w:r w:rsidRPr="000D18CC">
                    <w:rPr>
                      <w:rFonts w:asciiTheme="minorHAnsi" w:hAnsiTheme="minorHAnsi"/>
                      <w:sz w:val="20"/>
                      <w:szCs w:val="18"/>
                    </w:rPr>
                    <w:t xml:space="preserve">PI </w:t>
                  </w:r>
                  <w:proofErr w:type="spellStart"/>
                  <w:r w:rsidRPr="000D18CC">
                    <w:rPr>
                      <w:rFonts w:asciiTheme="minorHAnsi" w:hAnsiTheme="minorHAnsi"/>
                      <w:sz w:val="20"/>
                      <w:szCs w:val="18"/>
                    </w:rPr>
                    <w:t>Industrialised</w:t>
                  </w:r>
                  <w:proofErr w:type="spellEnd"/>
                  <w:r w:rsidRPr="000D18CC">
                    <w:rPr>
                      <w:rFonts w:asciiTheme="minorHAnsi" w:hAnsiTheme="minorHAnsi"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0D18CC">
                    <w:rPr>
                      <w:rFonts w:asciiTheme="minorHAnsi" w:hAnsiTheme="minorHAnsi"/>
                      <w:sz w:val="20"/>
                      <w:szCs w:val="18"/>
                    </w:rPr>
                    <w:t>Americas</w:t>
                  </w:r>
                  <w:proofErr w:type="spellEnd"/>
                  <w:r w:rsidRPr="000D18CC">
                    <w:rPr>
                      <w:rFonts w:asciiTheme="minorHAnsi" w:hAnsiTheme="minorHAnsi"/>
                      <w:sz w:val="20"/>
                      <w:szCs w:val="18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D54FD" w:rsidRPr="000D18CC" w:rsidRDefault="005D54FD" w:rsidP="005D54FD">
                  <w:pPr>
                    <w:rPr>
                      <w:rFonts w:asciiTheme="minorHAnsi" w:hAnsiTheme="minorHAnsi"/>
                      <w:sz w:val="20"/>
                      <w:szCs w:val="18"/>
                    </w:rPr>
                  </w:pPr>
                  <w:r>
                    <w:rPr>
                      <w:rFonts w:asciiTheme="minorHAnsi" w:hAnsiTheme="minorHAnsi"/>
                      <w:sz w:val="20"/>
                      <w:szCs w:val="18"/>
                    </w:rPr>
                    <w:t>18.770</w:t>
                  </w:r>
                  <w:r w:rsidRPr="000D18CC">
                    <w:rPr>
                      <w:rFonts w:asciiTheme="minorHAnsi" w:hAnsiTheme="minorHAnsi"/>
                      <w:sz w:val="20"/>
                      <w:szCs w:val="18"/>
                    </w:rPr>
                    <w:t xml:space="preserve"> €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D54FD" w:rsidRPr="000D18CC" w:rsidRDefault="005D54FD" w:rsidP="005D54FD">
                  <w:pPr>
                    <w:pStyle w:val="Default"/>
                    <w:rPr>
                      <w:rFonts w:asciiTheme="minorHAnsi" w:hAnsiTheme="minorHAnsi"/>
                      <w:sz w:val="20"/>
                      <w:szCs w:val="18"/>
                    </w:rPr>
                  </w:pPr>
                  <w:proofErr w:type="spellStart"/>
                  <w:r w:rsidRPr="000D18CC">
                    <w:rPr>
                      <w:rFonts w:asciiTheme="minorHAnsi" w:hAnsiTheme="minorHAnsi"/>
                      <w:sz w:val="20"/>
                      <w:szCs w:val="18"/>
                    </w:rPr>
                    <w:t>C</w:t>
                  </w:r>
                  <w:r>
                    <w:rPr>
                      <w:rFonts w:asciiTheme="minorHAnsi" w:hAnsiTheme="minorHAnsi"/>
                      <w:sz w:val="20"/>
                      <w:szCs w:val="18"/>
                    </w:rPr>
                    <w:t>anada</w:t>
                  </w:r>
                  <w:proofErr w:type="spellEnd"/>
                  <w:r>
                    <w:rPr>
                      <w:rFonts w:asciiTheme="minorHAnsi" w:hAnsiTheme="minorHAnsi"/>
                      <w:sz w:val="20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Theme="minorHAnsi" w:hAnsiTheme="minorHAnsi"/>
                      <w:sz w:val="20"/>
                      <w:szCs w:val="18"/>
                    </w:rPr>
                    <w:t>United</w:t>
                  </w:r>
                  <w:proofErr w:type="spellEnd"/>
                  <w:r>
                    <w:rPr>
                      <w:rFonts w:asciiTheme="minorHAnsi" w:hAnsiTheme="minorHAnsi"/>
                      <w:sz w:val="20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0"/>
                      <w:szCs w:val="18"/>
                    </w:rPr>
                    <w:t>States</w:t>
                  </w:r>
                  <w:proofErr w:type="spellEnd"/>
                  <w:r>
                    <w:rPr>
                      <w:rFonts w:asciiTheme="minorHAnsi" w:hAnsiTheme="minorHAnsi"/>
                      <w:sz w:val="20"/>
                      <w:szCs w:val="18"/>
                    </w:rPr>
                    <w:t xml:space="preserve"> of </w:t>
                  </w:r>
                  <w:proofErr w:type="spellStart"/>
                  <w:r>
                    <w:rPr>
                      <w:rFonts w:asciiTheme="minorHAnsi" w:hAnsiTheme="minorHAnsi"/>
                      <w:sz w:val="20"/>
                      <w:szCs w:val="18"/>
                    </w:rPr>
                    <w:t>America</w:t>
                  </w:r>
                  <w:proofErr w:type="spellEnd"/>
                </w:p>
              </w:tc>
            </w:tr>
            <w:tr w:rsidR="005D54FD" w:rsidTr="005D54FD">
              <w:tc>
                <w:tcPr>
                  <w:tcW w:w="2694" w:type="dxa"/>
                  <w:tcBorders>
                    <w:bottom w:val="single" w:sz="4" w:space="0" w:color="auto"/>
                  </w:tcBorders>
                  <w:vAlign w:val="center"/>
                </w:tcPr>
                <w:p w:rsidR="005D54FD" w:rsidRPr="000D18CC" w:rsidRDefault="005D54FD" w:rsidP="005D54FD">
                  <w:pPr>
                    <w:pStyle w:val="Default"/>
                    <w:rPr>
                      <w:rFonts w:asciiTheme="minorHAnsi" w:hAnsiTheme="minorHAnsi"/>
                      <w:sz w:val="20"/>
                      <w:szCs w:val="18"/>
                    </w:rPr>
                  </w:pPr>
                  <w:r w:rsidRPr="000D18CC">
                    <w:rPr>
                      <w:rFonts w:asciiTheme="minorHAnsi" w:hAnsiTheme="minorHAnsi"/>
                      <w:sz w:val="20"/>
                      <w:szCs w:val="18"/>
                    </w:rPr>
                    <w:t xml:space="preserve">PI </w:t>
                  </w:r>
                  <w:proofErr w:type="spellStart"/>
                  <w:r w:rsidRPr="000D18CC">
                    <w:rPr>
                      <w:rFonts w:asciiTheme="minorHAnsi" w:hAnsiTheme="minorHAnsi"/>
                      <w:sz w:val="20"/>
                      <w:szCs w:val="18"/>
                    </w:rPr>
                    <w:t>Industrialised</w:t>
                  </w:r>
                  <w:proofErr w:type="spellEnd"/>
                  <w:r w:rsidRPr="000D18CC">
                    <w:rPr>
                      <w:rFonts w:asciiTheme="minorHAnsi" w:hAnsiTheme="minorHAnsi"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0D18CC">
                    <w:rPr>
                      <w:rFonts w:asciiTheme="minorHAnsi" w:hAnsiTheme="minorHAnsi"/>
                      <w:sz w:val="20"/>
                      <w:szCs w:val="18"/>
                    </w:rPr>
                    <w:t>Asia</w:t>
                  </w:r>
                  <w:proofErr w:type="spellEnd"/>
                  <w:r w:rsidRPr="000D18CC">
                    <w:rPr>
                      <w:rFonts w:asciiTheme="minorHAnsi" w:hAnsiTheme="minorHAnsi"/>
                      <w:sz w:val="20"/>
                      <w:szCs w:val="18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:rsidR="005D54FD" w:rsidRPr="000D18CC" w:rsidRDefault="005D54FD" w:rsidP="005D54FD">
                  <w:pPr>
                    <w:rPr>
                      <w:rFonts w:asciiTheme="minorHAnsi" w:hAnsiTheme="minorHAnsi"/>
                      <w:sz w:val="20"/>
                      <w:szCs w:val="18"/>
                    </w:rPr>
                  </w:pPr>
                  <w:r>
                    <w:rPr>
                      <w:rFonts w:asciiTheme="minorHAnsi" w:hAnsiTheme="minorHAnsi"/>
                      <w:sz w:val="20"/>
                      <w:szCs w:val="18"/>
                    </w:rPr>
                    <w:t>19.868</w:t>
                  </w:r>
                  <w:r w:rsidRPr="000D18CC">
                    <w:rPr>
                      <w:rFonts w:asciiTheme="minorHAnsi" w:hAnsiTheme="minorHAnsi"/>
                      <w:sz w:val="20"/>
                      <w:szCs w:val="18"/>
                    </w:rPr>
                    <w:t xml:space="preserve"> €</w:t>
                  </w:r>
                </w:p>
              </w:tc>
              <w:tc>
                <w:tcPr>
                  <w:tcW w:w="5270" w:type="dxa"/>
                  <w:tcBorders>
                    <w:bottom w:val="single" w:sz="4" w:space="0" w:color="auto"/>
                  </w:tcBorders>
                  <w:vAlign w:val="center"/>
                </w:tcPr>
                <w:p w:rsidR="005D54FD" w:rsidRPr="000D18CC" w:rsidRDefault="005D54FD" w:rsidP="005D54FD">
                  <w:pPr>
                    <w:pStyle w:val="Default"/>
                    <w:rPr>
                      <w:rFonts w:asciiTheme="minorHAnsi" w:hAnsiTheme="minorHAnsi"/>
                      <w:sz w:val="20"/>
                      <w:szCs w:val="18"/>
                    </w:rPr>
                  </w:pPr>
                  <w:proofErr w:type="spellStart"/>
                  <w:r w:rsidRPr="000D18CC">
                    <w:rPr>
                      <w:rFonts w:asciiTheme="minorHAnsi" w:hAnsiTheme="minorHAnsi"/>
                      <w:sz w:val="20"/>
                      <w:szCs w:val="18"/>
                    </w:rPr>
                    <w:t>Australia</w:t>
                  </w:r>
                  <w:proofErr w:type="spellEnd"/>
                  <w:r w:rsidRPr="000D18CC">
                    <w:rPr>
                      <w:rFonts w:asciiTheme="minorHAnsi" w:hAnsiTheme="minorHAnsi"/>
                      <w:sz w:val="20"/>
                      <w:szCs w:val="18"/>
                    </w:rPr>
                    <w:t xml:space="preserve">, </w:t>
                  </w:r>
                  <w:proofErr w:type="spellStart"/>
                  <w:r w:rsidRPr="000D18CC">
                    <w:rPr>
                      <w:rFonts w:asciiTheme="minorHAnsi" w:hAnsiTheme="minorHAnsi"/>
                      <w:sz w:val="20"/>
                      <w:szCs w:val="18"/>
                    </w:rPr>
                    <w:t>Brunei</w:t>
                  </w:r>
                  <w:proofErr w:type="spellEnd"/>
                  <w:r w:rsidRPr="000D18CC">
                    <w:rPr>
                      <w:rFonts w:asciiTheme="minorHAnsi" w:hAnsiTheme="minorHAnsi"/>
                      <w:sz w:val="20"/>
                      <w:szCs w:val="18"/>
                    </w:rPr>
                    <w:t xml:space="preserve">, </w:t>
                  </w:r>
                  <w:proofErr w:type="spellStart"/>
                  <w:r w:rsidRPr="000D18CC">
                    <w:rPr>
                      <w:rFonts w:asciiTheme="minorHAnsi" w:hAnsiTheme="minorHAnsi"/>
                      <w:sz w:val="20"/>
                      <w:szCs w:val="18"/>
                    </w:rPr>
                    <w:t>Hong</w:t>
                  </w:r>
                  <w:proofErr w:type="spellEnd"/>
                  <w:r w:rsidRPr="000D18CC">
                    <w:rPr>
                      <w:rFonts w:asciiTheme="minorHAnsi" w:hAnsiTheme="minorHAnsi"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0D18CC">
                    <w:rPr>
                      <w:rFonts w:asciiTheme="minorHAnsi" w:hAnsiTheme="minorHAnsi"/>
                      <w:sz w:val="20"/>
                      <w:szCs w:val="18"/>
                    </w:rPr>
                    <w:t>Kong</w:t>
                  </w:r>
                  <w:proofErr w:type="spellEnd"/>
                  <w:r w:rsidRPr="000D18CC">
                    <w:rPr>
                      <w:rFonts w:asciiTheme="minorHAnsi" w:hAnsiTheme="minorHAnsi"/>
                      <w:sz w:val="20"/>
                      <w:szCs w:val="18"/>
                    </w:rPr>
                    <w:t>, Japan, (</w:t>
                  </w:r>
                  <w:proofErr w:type="spellStart"/>
                  <w:r w:rsidRPr="000D18CC">
                    <w:rPr>
                      <w:rFonts w:asciiTheme="minorHAnsi" w:hAnsiTheme="minorHAnsi"/>
                      <w:sz w:val="20"/>
                      <w:szCs w:val="18"/>
                    </w:rPr>
                    <w:t>Republic</w:t>
                  </w:r>
                  <w:proofErr w:type="spellEnd"/>
                  <w:r w:rsidRPr="000D18CC">
                    <w:rPr>
                      <w:rFonts w:asciiTheme="minorHAnsi" w:hAnsiTheme="minorHAnsi"/>
                      <w:sz w:val="20"/>
                      <w:szCs w:val="18"/>
                    </w:rPr>
                    <w:t xml:space="preserve"> of) </w:t>
                  </w:r>
                  <w:proofErr w:type="spellStart"/>
                  <w:r w:rsidRPr="000D18CC">
                    <w:rPr>
                      <w:rFonts w:asciiTheme="minorHAnsi" w:hAnsiTheme="minorHAnsi"/>
                      <w:sz w:val="20"/>
                      <w:szCs w:val="18"/>
                    </w:rPr>
                    <w:t>Korea</w:t>
                  </w:r>
                  <w:proofErr w:type="spellEnd"/>
                  <w:r w:rsidRPr="000D18CC">
                    <w:rPr>
                      <w:rFonts w:asciiTheme="minorHAnsi" w:hAnsiTheme="minorHAnsi"/>
                      <w:sz w:val="20"/>
                      <w:szCs w:val="18"/>
                    </w:rPr>
                    <w:t xml:space="preserve">, </w:t>
                  </w:r>
                  <w:proofErr w:type="spellStart"/>
                  <w:r w:rsidRPr="000D18CC">
                    <w:rPr>
                      <w:rFonts w:asciiTheme="minorHAnsi" w:hAnsiTheme="minorHAnsi"/>
                      <w:sz w:val="20"/>
                      <w:szCs w:val="18"/>
                    </w:rPr>
                    <w:t>Macao</w:t>
                  </w:r>
                  <w:proofErr w:type="spellEnd"/>
                  <w:r w:rsidRPr="000D18CC">
                    <w:rPr>
                      <w:rFonts w:asciiTheme="minorHAnsi" w:hAnsiTheme="minorHAnsi"/>
                      <w:sz w:val="20"/>
                      <w:szCs w:val="18"/>
                    </w:rPr>
                    <w:t xml:space="preserve">, New </w:t>
                  </w:r>
                  <w:proofErr w:type="spellStart"/>
                  <w:r w:rsidRPr="000D18CC">
                    <w:rPr>
                      <w:rFonts w:asciiTheme="minorHAnsi" w:hAnsiTheme="minorHAnsi"/>
                      <w:sz w:val="20"/>
                      <w:szCs w:val="18"/>
                    </w:rPr>
                    <w:t>Zealand</w:t>
                  </w:r>
                  <w:proofErr w:type="spellEnd"/>
                  <w:r w:rsidRPr="000D18CC">
                    <w:rPr>
                      <w:rFonts w:asciiTheme="minorHAnsi" w:hAnsiTheme="minorHAnsi"/>
                      <w:sz w:val="20"/>
                      <w:szCs w:val="18"/>
                    </w:rPr>
                    <w:t xml:space="preserve">, Singapore, </w:t>
                  </w:r>
                  <w:proofErr w:type="spellStart"/>
                  <w:r w:rsidRPr="000D18CC">
                    <w:rPr>
                      <w:rFonts w:asciiTheme="minorHAnsi" w:hAnsiTheme="minorHAnsi"/>
                      <w:sz w:val="20"/>
                      <w:szCs w:val="18"/>
                    </w:rPr>
                    <w:t>Taiwan</w:t>
                  </w:r>
                  <w:proofErr w:type="spellEnd"/>
                  <w:r w:rsidRPr="000D18CC">
                    <w:rPr>
                      <w:rFonts w:asciiTheme="minorHAnsi" w:hAnsiTheme="minorHAnsi"/>
                      <w:sz w:val="20"/>
                      <w:szCs w:val="18"/>
                    </w:rPr>
                    <w:t xml:space="preserve"> </w:t>
                  </w:r>
                </w:p>
              </w:tc>
            </w:tr>
          </w:tbl>
          <w:p w:rsidR="005D54FD" w:rsidRDefault="005D54FD" w:rsidP="00AE5530">
            <w:pPr>
              <w:rPr>
                <w:rFonts w:asciiTheme="minorHAnsi" w:hAnsiTheme="minorHAnsi"/>
                <w:b/>
                <w:bCs/>
                <w:sz w:val="21"/>
                <w:szCs w:val="18"/>
              </w:rPr>
            </w:pPr>
          </w:p>
          <w:p w:rsidR="005D54FD" w:rsidRDefault="005D54FD" w:rsidP="00AE5530">
            <w:pPr>
              <w:rPr>
                <w:rFonts w:asciiTheme="minorHAnsi" w:hAnsiTheme="minorHAnsi"/>
                <w:b/>
                <w:bCs/>
                <w:sz w:val="21"/>
                <w:szCs w:val="18"/>
              </w:rPr>
            </w:pPr>
          </w:p>
          <w:p w:rsidR="00AD00EC" w:rsidRPr="00223176" w:rsidRDefault="00AD00EC" w:rsidP="00AE553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23176">
              <w:rPr>
                <w:rFonts w:asciiTheme="minorHAnsi" w:hAnsiTheme="minorHAnsi"/>
                <w:b/>
                <w:bCs/>
                <w:sz w:val="21"/>
                <w:szCs w:val="18"/>
              </w:rPr>
              <w:t>European</w:t>
            </w:r>
            <w:proofErr w:type="spellEnd"/>
            <w:r w:rsidRPr="00223176">
              <w:rPr>
                <w:rFonts w:asciiTheme="minorHAnsi" w:hAnsiTheme="minorHAnsi"/>
                <w:b/>
                <w:bCs/>
                <w:sz w:val="21"/>
                <w:szCs w:val="18"/>
              </w:rPr>
              <w:t xml:space="preserve"> </w:t>
            </w:r>
            <w:proofErr w:type="spellStart"/>
            <w:r w:rsidRPr="00223176">
              <w:rPr>
                <w:rFonts w:asciiTheme="minorHAnsi" w:hAnsiTheme="minorHAnsi"/>
                <w:b/>
                <w:bCs/>
                <w:sz w:val="21"/>
                <w:szCs w:val="18"/>
              </w:rPr>
              <w:t>Development</w:t>
            </w:r>
            <w:proofErr w:type="spellEnd"/>
            <w:r w:rsidRPr="00223176">
              <w:rPr>
                <w:rFonts w:asciiTheme="minorHAnsi" w:hAnsiTheme="minorHAnsi"/>
                <w:b/>
                <w:bCs/>
                <w:sz w:val="21"/>
                <w:szCs w:val="18"/>
              </w:rPr>
              <w:t xml:space="preserve"> Fund (EDF)</w:t>
            </w:r>
          </w:p>
        </w:tc>
      </w:tr>
      <w:tr w:rsidR="00AD00EC" w:rsidRPr="00223176" w:rsidTr="00AE5530">
        <w:tc>
          <w:tcPr>
            <w:tcW w:w="2731" w:type="dxa"/>
            <w:tcBorders>
              <w:top w:val="single" w:sz="4" w:space="0" w:color="auto"/>
            </w:tcBorders>
            <w:vAlign w:val="center"/>
          </w:tcPr>
          <w:p w:rsidR="00AD00EC" w:rsidRPr="000D18CC" w:rsidRDefault="00AD00EC" w:rsidP="00AE5530">
            <w:pPr>
              <w:pStyle w:val="Default"/>
              <w:rPr>
                <w:rFonts w:asciiTheme="minorHAnsi" w:hAnsiTheme="minorHAnsi"/>
                <w:sz w:val="20"/>
                <w:szCs w:val="18"/>
              </w:rPr>
            </w:pPr>
            <w:r w:rsidRPr="000D18CC">
              <w:rPr>
                <w:rFonts w:asciiTheme="minorHAnsi" w:hAnsiTheme="minorHAnsi"/>
                <w:sz w:val="20"/>
                <w:szCs w:val="18"/>
              </w:rPr>
              <w:t xml:space="preserve">EDF </w:t>
            </w:r>
          </w:p>
          <w:p w:rsidR="00AD00EC" w:rsidRPr="000D18CC" w:rsidRDefault="00AD00EC" w:rsidP="00AE5530">
            <w:pPr>
              <w:rPr>
                <w:rFonts w:asciiTheme="minorHAnsi" w:hAnsiTheme="minorHAnsi"/>
                <w:sz w:val="20"/>
                <w:szCs w:val="18"/>
              </w:rPr>
            </w:pP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African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Caribbean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and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Pacific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states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:rsidR="00AD00EC" w:rsidRPr="000D18CC" w:rsidRDefault="005D54FD" w:rsidP="00AE5530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17.444</w:t>
            </w:r>
            <w:r w:rsidR="00AD00EC" w:rsidRPr="000D18CC">
              <w:rPr>
                <w:rFonts w:asciiTheme="minorHAnsi" w:hAnsiTheme="minorHAnsi"/>
                <w:sz w:val="20"/>
                <w:szCs w:val="18"/>
              </w:rPr>
              <w:t xml:space="preserve"> €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AD00EC" w:rsidRPr="000D18CC" w:rsidRDefault="00AD00EC" w:rsidP="00AE5530">
            <w:pPr>
              <w:pStyle w:val="Default"/>
              <w:rPr>
                <w:rFonts w:asciiTheme="minorHAnsi" w:hAnsiTheme="minorHAnsi"/>
                <w:sz w:val="20"/>
                <w:szCs w:val="18"/>
              </w:rPr>
            </w:pP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Angola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Antigua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and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Barbuda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Bahamas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Barbados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Belize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Benin,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Botswana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Burkina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Faso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Burundi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Cameroon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Cape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Verde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Central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African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Republic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Chad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Comoros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Congo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Congo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-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Democratic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Republic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of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the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Cook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Islands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Djibouti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Dominica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Dominican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Republic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Equatorial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Guinea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Eritrea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Ethiopia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Fiji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Gabon,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Gambia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Ghana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Grenada,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Guinea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Guinea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>-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Bissau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Guyana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Haiti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Ivory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Coast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Jamaica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Kenya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Kiribati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Lesotho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Liberia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Madagascar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Malawi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Mali, Marshall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Islands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Mauritania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Mauritius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Micronesia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>-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Federated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States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of,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Mozambique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Namibia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Nauru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Niger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Nigeria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Niue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Palau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Papua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New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Guinea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Rwanda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Saint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Kitts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And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Nevis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Saint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Lucia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Saint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Vincent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And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The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Grenadines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Samoa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Sao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Tome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and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Principe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Senegal,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Seychelles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Sierra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Leone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Solomon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Islands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Somalia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South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Sudan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Sudan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Suriname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Swaziland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Timor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Leste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-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Democratic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Republic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of,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Tanzania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Togo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Tonga,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Trinidad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and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Tobago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Tuvalu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Uganda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Vanuatu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Zambia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0D18CC">
              <w:rPr>
                <w:rFonts w:asciiTheme="minorHAnsi" w:hAnsiTheme="minorHAnsi"/>
                <w:sz w:val="20"/>
                <w:szCs w:val="18"/>
              </w:rPr>
              <w:t>Zimbabwe</w:t>
            </w:r>
            <w:proofErr w:type="spellEnd"/>
            <w:r w:rsidRPr="000D18CC">
              <w:rPr>
                <w:rFonts w:asciiTheme="minorHAnsi" w:hAnsiTheme="minorHAnsi"/>
                <w:sz w:val="20"/>
                <w:szCs w:val="18"/>
              </w:rPr>
              <w:t xml:space="preserve">. </w:t>
            </w:r>
          </w:p>
          <w:p w:rsidR="00AD00EC" w:rsidRPr="000D18CC" w:rsidRDefault="00AD00EC" w:rsidP="00AE5530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</w:tbl>
    <w:p w:rsidR="002E53A9" w:rsidRDefault="002E53A9" w:rsidP="00AD00EC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AD00EC" w:rsidRPr="005D54FD" w:rsidRDefault="005D54FD" w:rsidP="00AD00EC">
      <w:pPr>
        <w:rPr>
          <w:rFonts w:asciiTheme="minorHAnsi" w:hAnsiTheme="minorHAnsi"/>
          <w:b/>
          <w:sz w:val="21"/>
          <w:szCs w:val="21"/>
        </w:rPr>
      </w:pPr>
      <w:r w:rsidRPr="005D54FD">
        <w:rPr>
          <w:rFonts w:asciiTheme="minorHAnsi" w:hAnsiTheme="minorHAnsi"/>
          <w:b/>
          <w:sz w:val="21"/>
          <w:szCs w:val="21"/>
        </w:rPr>
        <w:t xml:space="preserve">West </w:t>
      </w:r>
      <w:proofErr w:type="spellStart"/>
      <w:r w:rsidRPr="005D54FD">
        <w:rPr>
          <w:rFonts w:asciiTheme="minorHAnsi" w:hAnsiTheme="minorHAnsi"/>
          <w:b/>
          <w:sz w:val="21"/>
          <w:szCs w:val="21"/>
        </w:rPr>
        <w:t>Africa</w:t>
      </w:r>
      <w:proofErr w:type="spellEnd"/>
      <w:r w:rsidRPr="005D54FD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5D54FD">
        <w:rPr>
          <w:rFonts w:asciiTheme="minorHAnsi" w:hAnsiTheme="minorHAnsi"/>
          <w:b/>
          <w:sz w:val="21"/>
          <w:szCs w:val="21"/>
        </w:rPr>
        <w:t>Trust</w:t>
      </w:r>
      <w:proofErr w:type="spellEnd"/>
      <w:r w:rsidRPr="005D54FD">
        <w:rPr>
          <w:rFonts w:asciiTheme="minorHAnsi" w:hAnsiTheme="minorHAnsi"/>
          <w:b/>
          <w:sz w:val="21"/>
          <w:szCs w:val="21"/>
        </w:rPr>
        <w:t xml:space="preserve"> (WTF)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1"/>
        <w:gridCol w:w="955"/>
        <w:gridCol w:w="5386"/>
      </w:tblGrid>
      <w:tr w:rsidR="002E53A9" w:rsidRPr="000D18CC" w:rsidTr="0024593A"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3A9" w:rsidRPr="000D18CC" w:rsidRDefault="005D54FD" w:rsidP="00540B6D">
            <w:pPr>
              <w:pStyle w:val="Default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 xml:space="preserve">WTF – West </w:t>
            </w:r>
            <w:proofErr w:type="spellStart"/>
            <w:r>
              <w:rPr>
                <w:rFonts w:asciiTheme="minorHAnsi" w:hAnsiTheme="minorHAnsi"/>
                <w:sz w:val="20"/>
                <w:szCs w:val="18"/>
              </w:rPr>
              <w:t>Africa</w:t>
            </w:r>
            <w:proofErr w:type="spellEnd"/>
            <w:r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18"/>
              </w:rPr>
              <w:t>Trust</w:t>
            </w:r>
            <w:proofErr w:type="spellEnd"/>
            <w:r w:rsidR="003668A2">
              <w:rPr>
                <w:rFonts w:asciiTheme="minorHAnsi" w:hAnsiTheme="minorHAnsi"/>
                <w:sz w:val="20"/>
                <w:szCs w:val="18"/>
              </w:rPr>
              <w:t>*</w:t>
            </w:r>
            <w:r w:rsidR="002E53A9" w:rsidRPr="000D18CC">
              <w:rPr>
                <w:rFonts w:asciiTheme="minorHAnsi" w:hAnsiTheme="minorHAnsi"/>
                <w:sz w:val="20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3A9" w:rsidRPr="000D18CC" w:rsidRDefault="005D54FD" w:rsidP="002E53A9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40.000</w:t>
            </w:r>
            <w:r w:rsidR="002E53A9" w:rsidRPr="000D18CC">
              <w:rPr>
                <w:rFonts w:asciiTheme="minorHAnsi" w:hAnsiTheme="minorHAnsi"/>
                <w:sz w:val="20"/>
                <w:szCs w:val="18"/>
              </w:rPr>
              <w:t xml:space="preserve"> €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3A9" w:rsidRPr="000D18CC" w:rsidRDefault="004205C0" w:rsidP="002E53A9">
            <w:pPr>
              <w:pStyle w:val="Default"/>
              <w:rPr>
                <w:rFonts w:asciiTheme="minorHAnsi" w:hAnsiTheme="minorHAnsi"/>
                <w:sz w:val="20"/>
                <w:szCs w:val="18"/>
              </w:rPr>
            </w:pPr>
            <w:proofErr w:type="spellStart"/>
            <w:r w:rsidRPr="004205C0">
              <w:rPr>
                <w:rFonts w:asciiTheme="minorHAnsi" w:hAnsiTheme="minorHAnsi"/>
                <w:sz w:val="20"/>
                <w:szCs w:val="18"/>
              </w:rPr>
              <w:t>Burkina</w:t>
            </w:r>
            <w:proofErr w:type="spellEnd"/>
            <w:r w:rsidRPr="004205C0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4205C0">
              <w:rPr>
                <w:rFonts w:asciiTheme="minorHAnsi" w:hAnsiTheme="minorHAnsi"/>
                <w:sz w:val="20"/>
                <w:szCs w:val="18"/>
              </w:rPr>
              <w:t>Faso</w:t>
            </w:r>
            <w:proofErr w:type="spellEnd"/>
            <w:r w:rsidRPr="004205C0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4205C0">
              <w:rPr>
                <w:rFonts w:asciiTheme="minorHAnsi" w:hAnsiTheme="minorHAnsi"/>
                <w:sz w:val="20"/>
                <w:szCs w:val="18"/>
              </w:rPr>
              <w:t>Cameroon</w:t>
            </w:r>
            <w:proofErr w:type="spellEnd"/>
            <w:r w:rsidRPr="004205C0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4205C0">
              <w:rPr>
                <w:rFonts w:asciiTheme="minorHAnsi" w:hAnsiTheme="minorHAnsi"/>
                <w:sz w:val="20"/>
                <w:szCs w:val="18"/>
              </w:rPr>
              <w:t>Chad</w:t>
            </w:r>
            <w:proofErr w:type="spellEnd"/>
            <w:r w:rsidRPr="004205C0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4205C0">
              <w:rPr>
                <w:rFonts w:asciiTheme="minorHAnsi" w:hAnsiTheme="minorHAnsi"/>
                <w:sz w:val="20"/>
                <w:szCs w:val="18"/>
              </w:rPr>
              <w:t>Cote</w:t>
            </w:r>
            <w:proofErr w:type="spellEnd"/>
            <w:r w:rsidRPr="004205C0">
              <w:rPr>
                <w:rFonts w:asciiTheme="minorHAnsi" w:hAnsiTheme="minorHAnsi"/>
                <w:sz w:val="20"/>
                <w:szCs w:val="18"/>
              </w:rPr>
              <w:t xml:space="preserve"> d'</w:t>
            </w:r>
            <w:proofErr w:type="spellStart"/>
            <w:r w:rsidRPr="004205C0">
              <w:rPr>
                <w:rFonts w:asciiTheme="minorHAnsi" w:hAnsiTheme="minorHAnsi"/>
                <w:sz w:val="20"/>
                <w:szCs w:val="18"/>
              </w:rPr>
              <w:t>Ivoire</w:t>
            </w:r>
            <w:proofErr w:type="spellEnd"/>
            <w:r w:rsidRPr="004205C0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4205C0">
              <w:rPr>
                <w:rFonts w:asciiTheme="minorHAnsi" w:hAnsiTheme="minorHAnsi"/>
                <w:sz w:val="20"/>
                <w:szCs w:val="18"/>
              </w:rPr>
              <w:t>the</w:t>
            </w:r>
            <w:proofErr w:type="spellEnd"/>
            <w:r w:rsidRPr="004205C0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4205C0">
              <w:rPr>
                <w:rFonts w:asciiTheme="minorHAnsi" w:hAnsiTheme="minorHAnsi"/>
                <w:sz w:val="20"/>
                <w:szCs w:val="18"/>
              </w:rPr>
              <w:t>Gambia</w:t>
            </w:r>
            <w:proofErr w:type="spellEnd"/>
            <w:r w:rsidRPr="004205C0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4205C0">
              <w:rPr>
                <w:rFonts w:asciiTheme="minorHAnsi" w:hAnsiTheme="minorHAnsi"/>
                <w:sz w:val="20"/>
                <w:szCs w:val="18"/>
              </w:rPr>
              <w:t>Ghana</w:t>
            </w:r>
            <w:proofErr w:type="spellEnd"/>
            <w:r w:rsidRPr="004205C0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4205C0">
              <w:rPr>
                <w:rFonts w:asciiTheme="minorHAnsi" w:hAnsiTheme="minorHAnsi"/>
                <w:sz w:val="20"/>
                <w:szCs w:val="18"/>
              </w:rPr>
              <w:t>Guinea</w:t>
            </w:r>
            <w:proofErr w:type="spellEnd"/>
            <w:r w:rsidRPr="004205C0">
              <w:rPr>
                <w:rFonts w:asciiTheme="minorHAnsi" w:hAnsiTheme="minorHAnsi"/>
                <w:sz w:val="20"/>
                <w:szCs w:val="18"/>
              </w:rPr>
              <w:t xml:space="preserve">, Mali, </w:t>
            </w:r>
            <w:proofErr w:type="spellStart"/>
            <w:r w:rsidRPr="004205C0">
              <w:rPr>
                <w:rFonts w:asciiTheme="minorHAnsi" w:hAnsiTheme="minorHAnsi"/>
                <w:sz w:val="20"/>
                <w:szCs w:val="18"/>
              </w:rPr>
              <w:t>Mauritania</w:t>
            </w:r>
            <w:proofErr w:type="spellEnd"/>
            <w:r w:rsidRPr="004205C0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4205C0">
              <w:rPr>
                <w:rFonts w:asciiTheme="minorHAnsi" w:hAnsiTheme="minorHAnsi"/>
                <w:sz w:val="20"/>
                <w:szCs w:val="18"/>
              </w:rPr>
              <w:t>Niger</w:t>
            </w:r>
            <w:proofErr w:type="spellEnd"/>
            <w:r w:rsidRPr="004205C0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4205C0">
              <w:rPr>
                <w:rFonts w:asciiTheme="minorHAnsi" w:hAnsiTheme="minorHAnsi"/>
                <w:sz w:val="20"/>
                <w:szCs w:val="18"/>
              </w:rPr>
              <w:t>Nigeria</w:t>
            </w:r>
            <w:proofErr w:type="spellEnd"/>
            <w:r w:rsidRPr="004205C0">
              <w:rPr>
                <w:rFonts w:asciiTheme="minorHAnsi" w:hAnsiTheme="minorHAnsi"/>
                <w:sz w:val="20"/>
                <w:szCs w:val="18"/>
              </w:rPr>
              <w:t>, Senegal.</w:t>
            </w:r>
          </w:p>
        </w:tc>
      </w:tr>
    </w:tbl>
    <w:p w:rsidR="002E53A9" w:rsidRDefault="003668A2" w:rsidP="00AD00EC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*Lönd í WTF eru líka í EDF. Ekki má sækja um í báða sjóði fyrir sama land. </w:t>
      </w:r>
    </w:p>
    <w:p w:rsidR="00CD7E56" w:rsidRPr="00DC78ED" w:rsidRDefault="00DC78ED" w:rsidP="004760C1">
      <w:pPr>
        <w:rPr>
          <w:b/>
          <w:sz w:val="28"/>
        </w:rPr>
      </w:pPr>
      <w:r w:rsidRPr="00DC78ED">
        <w:rPr>
          <w:b/>
          <w:sz w:val="28"/>
        </w:rPr>
        <w:t>Dæmi um upphæðir styrkja:</w:t>
      </w:r>
    </w:p>
    <w:p w:rsidR="00CD4194" w:rsidRPr="00A97D54" w:rsidRDefault="00CD4194" w:rsidP="00CD4194">
      <w:pPr>
        <w:rPr>
          <w:b/>
        </w:rPr>
      </w:pPr>
      <w:r>
        <w:rPr>
          <w:b/>
        </w:rPr>
        <w:t>Upphæð styrkja til s</w:t>
      </w:r>
      <w:r w:rsidRPr="00A97D54">
        <w:rPr>
          <w:b/>
        </w:rPr>
        <w:t>túdentaskipt</w:t>
      </w:r>
      <w:r>
        <w:rPr>
          <w:b/>
        </w:rPr>
        <w:t>a</w:t>
      </w:r>
    </w:p>
    <w:p w:rsidR="00CD4194" w:rsidRDefault="00CD4194" w:rsidP="00CD4194">
      <w:pPr>
        <w:spacing w:line="240" w:lineRule="auto"/>
      </w:pPr>
      <w:r>
        <w:t>Stúdent sem kemur til Íslands í 6 mánuði fær að meðaltali (ferðastyrkur fer eftir fjarlægð):</w:t>
      </w:r>
    </w:p>
    <w:p w:rsidR="00CD4194" w:rsidRDefault="00CD4194" w:rsidP="00CD4194">
      <w:pPr>
        <w:spacing w:line="240" w:lineRule="auto"/>
      </w:pPr>
      <w:r>
        <w:t xml:space="preserve">Styrkur á mánuði (6 x </w:t>
      </w:r>
      <w:r w:rsidR="004205C0">
        <w:t>9</w:t>
      </w:r>
      <w:r>
        <w:t xml:space="preserve">00) + ferðastyrkur (1 x 820) </w:t>
      </w:r>
      <w:r w:rsidR="00DC78ED">
        <w:t xml:space="preserve">= </w:t>
      </w:r>
      <w:r w:rsidR="004205C0">
        <w:t>6.220</w:t>
      </w:r>
      <w:r w:rsidR="00DC78ED">
        <w:t xml:space="preserve"> </w:t>
      </w:r>
      <w:r>
        <w:t>€</w:t>
      </w:r>
    </w:p>
    <w:p w:rsidR="00CD4194" w:rsidRDefault="00CD4194" w:rsidP="00CD4194">
      <w:pPr>
        <w:spacing w:line="240" w:lineRule="auto"/>
      </w:pPr>
      <w:r>
        <w:t>Stúdent sem fer frá Íslandi í 6 mánuði fær að meðaltali (ferðastyrkur fer eftir fjarlægð):</w:t>
      </w:r>
    </w:p>
    <w:p w:rsidR="00DC78ED" w:rsidRDefault="00CD4194" w:rsidP="00CD4194">
      <w:pPr>
        <w:spacing w:line="240" w:lineRule="auto"/>
      </w:pPr>
      <w:r>
        <w:t xml:space="preserve">Styrkur á mánuði (6 x </w:t>
      </w:r>
      <w:r w:rsidR="004205C0">
        <w:t>770</w:t>
      </w:r>
      <w:r>
        <w:t xml:space="preserve">) + ferðastyrkur (1 x 820) </w:t>
      </w:r>
      <w:r w:rsidR="00DC78ED">
        <w:t xml:space="preserve">= </w:t>
      </w:r>
      <w:r w:rsidR="004205C0">
        <w:t>5.440</w:t>
      </w:r>
      <w:r w:rsidR="00DC78ED">
        <w:t xml:space="preserve"> €</w:t>
      </w:r>
    </w:p>
    <w:p w:rsidR="00CD4194" w:rsidRDefault="00DC78ED" w:rsidP="00CD4194">
      <w:pPr>
        <w:spacing w:line="240" w:lineRule="auto"/>
      </w:pPr>
      <w:r>
        <w:t>Að auki fá háskólar 350 € í umsýslustyrk fyrir hvern þátttakanda.</w:t>
      </w:r>
    </w:p>
    <w:p w:rsidR="00CD4194" w:rsidRDefault="00CD4194" w:rsidP="00CD4194">
      <w:pPr>
        <w:rPr>
          <w:b/>
        </w:rPr>
      </w:pPr>
      <w:r>
        <w:rPr>
          <w:b/>
        </w:rPr>
        <w:t>Upphæð styrkja til k</w:t>
      </w:r>
      <w:r w:rsidRPr="00A97D54">
        <w:rPr>
          <w:b/>
        </w:rPr>
        <w:t>ennara- og starfsmannaskipt</w:t>
      </w:r>
      <w:r>
        <w:rPr>
          <w:b/>
        </w:rPr>
        <w:t>a</w:t>
      </w:r>
    </w:p>
    <w:p w:rsidR="00CD4194" w:rsidRDefault="00CD4194" w:rsidP="00CD4194">
      <w:pPr>
        <w:spacing w:line="240" w:lineRule="auto"/>
      </w:pPr>
      <w:r>
        <w:t xml:space="preserve">Starfsmannaskipti í </w:t>
      </w:r>
      <w:r w:rsidR="00DC78ED">
        <w:t>7</w:t>
      </w:r>
      <w:r>
        <w:t xml:space="preserve"> daga </w:t>
      </w:r>
      <w:r w:rsidR="004205C0">
        <w:t xml:space="preserve">bæði </w:t>
      </w:r>
      <w:r>
        <w:t xml:space="preserve">frá Íslandi </w:t>
      </w:r>
      <w:r w:rsidR="004205C0">
        <w:t xml:space="preserve">og til Íslands </w:t>
      </w:r>
      <w:r>
        <w:t>að meðaltali (ferðastyrkur fer eftir fjarlægð):</w:t>
      </w:r>
    </w:p>
    <w:p w:rsidR="00CD4194" w:rsidRDefault="00CD4194" w:rsidP="00CD4194">
      <w:pPr>
        <w:spacing w:line="240" w:lineRule="auto"/>
      </w:pPr>
      <w:r>
        <w:t>Dagpeningar (</w:t>
      </w:r>
      <w:r w:rsidR="00DC78ED">
        <w:t>7</w:t>
      </w:r>
      <w:r>
        <w:t xml:space="preserve"> x 1</w:t>
      </w:r>
      <w:r w:rsidR="004205C0">
        <w:t>80</w:t>
      </w:r>
      <w:r>
        <w:t xml:space="preserve">) + ferðastyrkur (1 x 820) = </w:t>
      </w:r>
      <w:r w:rsidR="004205C0">
        <w:t>2.080</w:t>
      </w:r>
      <w:r>
        <w:t xml:space="preserve"> €</w:t>
      </w:r>
    </w:p>
    <w:p w:rsidR="00DC78ED" w:rsidRDefault="00DC78ED" w:rsidP="00DC78ED">
      <w:pPr>
        <w:spacing w:line="240" w:lineRule="auto"/>
      </w:pPr>
      <w:r>
        <w:t>Að auki fá háskólar 350 € í umsýslustyrk fyrir hvern þátttakanda.</w:t>
      </w:r>
    </w:p>
    <w:p w:rsidR="00FE1D97" w:rsidRDefault="00FE1D97" w:rsidP="00FE1D97">
      <w:pPr>
        <w:pStyle w:val="NoSpacing"/>
      </w:pPr>
    </w:p>
    <w:p w:rsidR="00AA582C" w:rsidRDefault="00FD381C" w:rsidP="00AA582C">
      <w:r>
        <w:t>Um</w:t>
      </w:r>
      <w:r w:rsidR="000721B1">
        <w:t>sóknarfrest</w:t>
      </w:r>
      <w:r>
        <w:t>ur er</w:t>
      </w:r>
      <w:r w:rsidR="000721B1">
        <w:t xml:space="preserve"> </w:t>
      </w:r>
      <w:r w:rsidR="009F1275">
        <w:t>í byrjun febrúar ár hvert</w:t>
      </w:r>
      <w:r>
        <w:t>. Nánari upplýsingar</w:t>
      </w:r>
      <w:r w:rsidR="000721B1">
        <w:t xml:space="preserve"> á </w:t>
      </w:r>
      <w:hyperlink r:id="rId8" w:history="1">
        <w:r w:rsidR="000721B1" w:rsidRPr="007F5B4C">
          <w:rPr>
            <w:rStyle w:val="Hyperlink"/>
          </w:rPr>
          <w:t>http://eacea.ec.europa.eu</w:t>
        </w:r>
      </w:hyperlink>
      <w:r w:rsidR="000721B1">
        <w:t>.</w:t>
      </w:r>
    </w:p>
    <w:sectPr w:rsidR="00AA582C" w:rsidSect="00AD00EC">
      <w:headerReference w:type="default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0C1" w:rsidRDefault="004760C1" w:rsidP="00F71CBD">
      <w:pPr>
        <w:spacing w:after="0" w:line="240" w:lineRule="auto"/>
      </w:pPr>
      <w:r>
        <w:separator/>
      </w:r>
    </w:p>
  </w:endnote>
  <w:endnote w:type="continuationSeparator" w:id="0">
    <w:p w:rsidR="004760C1" w:rsidRDefault="004760C1" w:rsidP="00F7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CBD" w:rsidRPr="00F71CBD" w:rsidRDefault="00F71CBD" w:rsidP="00F71CBD">
    <w:pPr>
      <w:pStyle w:val="Footer"/>
      <w:jc w:val="center"/>
      <w:rPr>
        <w:color w:val="333333"/>
      </w:rPr>
    </w:pPr>
    <w:r w:rsidRPr="00F71CBD">
      <w:rPr>
        <w:color w:val="333333"/>
      </w:rPr>
      <w:t xml:space="preserve">Rannsóknamiðstöð Íslands – Rannís </w:t>
    </w:r>
    <w:r w:rsidRPr="00F71CBD">
      <w:rPr>
        <w:color w:val="333333"/>
      </w:rPr>
      <w:sym w:font="Wingdings" w:char="F09F"/>
    </w:r>
    <w:r w:rsidRPr="00F71CBD">
      <w:rPr>
        <w:color w:val="333333"/>
      </w:rPr>
      <w:t xml:space="preserve"> Laugavegi 13, 101 Reykjavík og Dunhaga 5, 107 Reykjavík</w:t>
    </w:r>
  </w:p>
  <w:p w:rsidR="00F71CBD" w:rsidRPr="00F71CBD" w:rsidRDefault="00F71CBD" w:rsidP="00F71CBD">
    <w:pPr>
      <w:pStyle w:val="Footer"/>
      <w:jc w:val="center"/>
      <w:rPr>
        <w:color w:val="333333"/>
      </w:rPr>
    </w:pPr>
    <w:r w:rsidRPr="00F71CBD">
      <w:rPr>
        <w:color w:val="333333"/>
      </w:rPr>
      <w:t xml:space="preserve">sími 515 5800 </w:t>
    </w:r>
    <w:r w:rsidRPr="00F71CBD">
      <w:rPr>
        <w:color w:val="333333"/>
      </w:rPr>
      <w:sym w:font="Wingdings" w:char="F09F"/>
    </w:r>
    <w:r w:rsidRPr="00F71CBD">
      <w:rPr>
        <w:color w:val="333333"/>
      </w:rPr>
      <w:t xml:space="preserve"> fax 552 9814 </w:t>
    </w:r>
    <w:r w:rsidRPr="00F71CBD">
      <w:rPr>
        <w:color w:val="333333"/>
      </w:rPr>
      <w:sym w:font="Wingdings" w:char="F09F"/>
    </w:r>
    <w:r w:rsidRPr="00F71CBD">
      <w:rPr>
        <w:color w:val="333333"/>
      </w:rPr>
      <w:t xml:space="preserve"> </w:t>
    </w:r>
    <w:hyperlink r:id="rId1" w:history="1">
      <w:r w:rsidRPr="00F71CBD">
        <w:rPr>
          <w:color w:val="333333"/>
        </w:rPr>
        <w:t>www.rannis.is</w:t>
      </w:r>
    </w:hyperlink>
    <w:r w:rsidRPr="00F71CBD">
      <w:rPr>
        <w:color w:val="333333"/>
      </w:rPr>
      <w:t xml:space="preserve"> </w:t>
    </w:r>
    <w:r w:rsidRPr="00F71CBD">
      <w:rPr>
        <w:color w:val="333333"/>
      </w:rPr>
      <w:sym w:font="Wingdings" w:char="F09F"/>
    </w:r>
    <w:r w:rsidRPr="00F71CBD">
      <w:rPr>
        <w:color w:val="333333"/>
      </w:rPr>
      <w:t xml:space="preserve"> </w:t>
    </w:r>
    <w:hyperlink r:id="rId2" w:history="1">
      <w:r w:rsidRPr="00F71CBD">
        <w:rPr>
          <w:color w:val="333333"/>
        </w:rPr>
        <w:t>rannis@rannis.is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0C1" w:rsidRDefault="004760C1" w:rsidP="00F71CBD">
      <w:pPr>
        <w:spacing w:after="0" w:line="240" w:lineRule="auto"/>
      </w:pPr>
      <w:r>
        <w:separator/>
      </w:r>
    </w:p>
  </w:footnote>
  <w:footnote w:type="continuationSeparator" w:id="0">
    <w:p w:rsidR="004760C1" w:rsidRDefault="004760C1" w:rsidP="00F71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CBD" w:rsidRDefault="00F71CBD" w:rsidP="005D54FD">
    <w:pPr>
      <w:pStyle w:val="Header"/>
      <w:ind w:right="440"/>
      <w:jc w:val="right"/>
    </w:pPr>
    <w:r>
      <w:rPr>
        <w:noProof/>
        <w:lang w:eastAsia="zh-CN"/>
      </w:rPr>
      <w:drawing>
        <wp:inline distT="0" distB="0" distL="0" distR="0" wp14:anchorId="73FAA695" wp14:editId="71D585EE">
          <wp:extent cx="427859" cy="3511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nni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788" cy="359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F4D3F"/>
    <w:multiLevelType w:val="hybridMultilevel"/>
    <w:tmpl w:val="66344D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A4055"/>
    <w:multiLevelType w:val="hybridMultilevel"/>
    <w:tmpl w:val="D598A05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85AA6"/>
    <w:multiLevelType w:val="hybridMultilevel"/>
    <w:tmpl w:val="D42889A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94DD4"/>
    <w:multiLevelType w:val="hybridMultilevel"/>
    <w:tmpl w:val="2A987A6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C1"/>
    <w:rsid w:val="00060DDC"/>
    <w:rsid w:val="00065E2B"/>
    <w:rsid w:val="000721B1"/>
    <w:rsid w:val="000F6D41"/>
    <w:rsid w:val="00172AF2"/>
    <w:rsid w:val="001914F1"/>
    <w:rsid w:val="00192425"/>
    <w:rsid w:val="001A719E"/>
    <w:rsid w:val="001F6D06"/>
    <w:rsid w:val="002C0AC0"/>
    <w:rsid w:val="002E53A9"/>
    <w:rsid w:val="00316E30"/>
    <w:rsid w:val="003203C0"/>
    <w:rsid w:val="003668A2"/>
    <w:rsid w:val="004205C0"/>
    <w:rsid w:val="0044322F"/>
    <w:rsid w:val="004760C1"/>
    <w:rsid w:val="004C35D1"/>
    <w:rsid w:val="004D20BD"/>
    <w:rsid w:val="004F29BF"/>
    <w:rsid w:val="00513727"/>
    <w:rsid w:val="00540B6D"/>
    <w:rsid w:val="00554854"/>
    <w:rsid w:val="005D54FD"/>
    <w:rsid w:val="005E3E49"/>
    <w:rsid w:val="00625B45"/>
    <w:rsid w:val="0063333B"/>
    <w:rsid w:val="0064227C"/>
    <w:rsid w:val="006435D0"/>
    <w:rsid w:val="00687FD2"/>
    <w:rsid w:val="006A22A8"/>
    <w:rsid w:val="006D4F04"/>
    <w:rsid w:val="00725950"/>
    <w:rsid w:val="00785BB8"/>
    <w:rsid w:val="007E3E40"/>
    <w:rsid w:val="007F3362"/>
    <w:rsid w:val="007F5B4C"/>
    <w:rsid w:val="00811AE3"/>
    <w:rsid w:val="00872D72"/>
    <w:rsid w:val="0090361D"/>
    <w:rsid w:val="009156AB"/>
    <w:rsid w:val="00942C88"/>
    <w:rsid w:val="0094654D"/>
    <w:rsid w:val="009D3B90"/>
    <w:rsid w:val="009E0EE7"/>
    <w:rsid w:val="009F1275"/>
    <w:rsid w:val="00AA582C"/>
    <w:rsid w:val="00AD00EC"/>
    <w:rsid w:val="00AD68DF"/>
    <w:rsid w:val="00B54E2F"/>
    <w:rsid w:val="00BF79B2"/>
    <w:rsid w:val="00C539EB"/>
    <w:rsid w:val="00C6239A"/>
    <w:rsid w:val="00CD4194"/>
    <w:rsid w:val="00CD7E56"/>
    <w:rsid w:val="00DC78ED"/>
    <w:rsid w:val="00E01C9A"/>
    <w:rsid w:val="00E46391"/>
    <w:rsid w:val="00E52D61"/>
    <w:rsid w:val="00E938F0"/>
    <w:rsid w:val="00ED25ED"/>
    <w:rsid w:val="00EF2BE4"/>
    <w:rsid w:val="00F049C9"/>
    <w:rsid w:val="00F476A6"/>
    <w:rsid w:val="00F66798"/>
    <w:rsid w:val="00F71CBD"/>
    <w:rsid w:val="00FD10EE"/>
    <w:rsid w:val="00FD381C"/>
    <w:rsid w:val="00FE1D97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D9910DD"/>
  <w15:docId w15:val="{656D1932-DF89-4223-A2D9-B81889F9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0C1"/>
    <w:rPr>
      <w:rFonts w:ascii="Calibri" w:eastAsia="Calibri" w:hAnsi="Calibri" w:cs="Times New Roman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CBD"/>
  </w:style>
  <w:style w:type="paragraph" w:styleId="Footer">
    <w:name w:val="footer"/>
    <w:basedOn w:val="Normal"/>
    <w:link w:val="FooterChar"/>
    <w:uiPriority w:val="99"/>
    <w:unhideWhenUsed/>
    <w:rsid w:val="00F7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CBD"/>
  </w:style>
  <w:style w:type="paragraph" w:styleId="BalloonText">
    <w:name w:val="Balloon Text"/>
    <w:basedOn w:val="Normal"/>
    <w:link w:val="BalloonTextChar"/>
    <w:uiPriority w:val="99"/>
    <w:semiHidden/>
    <w:unhideWhenUsed/>
    <w:rsid w:val="00F7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1CB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60C1"/>
    <w:pPr>
      <w:spacing w:after="0" w:line="240" w:lineRule="auto"/>
    </w:pPr>
    <w:rPr>
      <w:rFonts w:ascii="Calibri" w:eastAsia="SimSun" w:hAnsi="Calibri" w:cs="Times New Roman"/>
      <w:lang w:val="is-I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76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0C1"/>
    <w:rPr>
      <w:rFonts w:ascii="Calibri" w:eastAsia="Calibri" w:hAnsi="Calibri" w:cs="Times New Roman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0C1"/>
    <w:rPr>
      <w:rFonts w:ascii="Calibri" w:eastAsia="Calibri" w:hAnsi="Calibri" w:cs="Times New Roman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381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AD00EC"/>
    <w:pPr>
      <w:spacing w:after="0" w:line="240" w:lineRule="auto"/>
    </w:pPr>
    <w:rPr>
      <w:rFonts w:eastAsiaTheme="minorEastAsia"/>
      <w:lang w:val="is-I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00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is-I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cea.ec.europ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nnis@rannis.is" TargetMode="External"/><Relationship Id="rId1" Type="http://schemas.openxmlformats.org/officeDocument/2006/relationships/hyperlink" Target="http://www.rannis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3.07%20Erasmus+\3.07%20Erasmus+%20Landskrifstofa\ERASMUS+Landskrifstofa%20gamla%20mappan\Communication_Website\Br&#233;fsefni_Gl&#230;rum&#225;t\Rann&#237;s_br&#233;fsefni_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88E84-74F4-4E7D-962E-56A808CF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Rannís_bréfsefni_IS</Template>
  <TotalTime>36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Rannsóknamiðstöð Íslands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Kristin Gylfadóttir</dc:creator>
  <cp:lastModifiedBy>Óskar E. Óskarsson</cp:lastModifiedBy>
  <cp:revision>7</cp:revision>
  <cp:lastPrinted>2014-09-24T09:54:00Z</cp:lastPrinted>
  <dcterms:created xsi:type="dcterms:W3CDTF">2017-10-17T13:43:00Z</dcterms:created>
  <dcterms:modified xsi:type="dcterms:W3CDTF">2017-12-05T14:44:00Z</dcterms:modified>
</cp:coreProperties>
</file>