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12" w:rsidRPr="006E4991" w:rsidRDefault="00761712" w:rsidP="00761712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6E4991">
        <w:rPr>
          <w:rFonts w:asciiTheme="minorHAnsi" w:hAnsiTheme="minorHAnsi" w:cstheme="minorHAnsi"/>
          <w:color w:val="auto"/>
        </w:rPr>
        <w:t xml:space="preserve">Staða Íslands í alþjóðlegum samanburði á birtingum innan valinna </w:t>
      </w:r>
      <w:r w:rsidR="00A462D4" w:rsidRPr="006E4991">
        <w:rPr>
          <w:rFonts w:asciiTheme="minorHAnsi" w:hAnsiTheme="minorHAnsi" w:cstheme="minorHAnsi"/>
          <w:color w:val="auto"/>
        </w:rPr>
        <w:t>áherslusviða</w:t>
      </w:r>
      <w:r w:rsidRPr="006E4991">
        <w:rPr>
          <w:rFonts w:asciiTheme="minorHAnsi" w:hAnsiTheme="minorHAnsi" w:cstheme="minorHAnsi"/>
          <w:color w:val="auto"/>
        </w:rPr>
        <w:t xml:space="preserve"> 2003-2012</w:t>
      </w:r>
    </w:p>
    <w:p w:rsidR="00875300" w:rsidRPr="006E4991" w:rsidRDefault="00761712" w:rsidP="00761712">
      <w:pPr>
        <w:pStyle w:val="Heading1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E4991">
        <w:rPr>
          <w:rFonts w:asciiTheme="minorHAnsi" w:hAnsiTheme="minorHAnsi" w:cstheme="minorHAnsi"/>
          <w:color w:val="auto"/>
          <w:sz w:val="22"/>
          <w:szCs w:val="22"/>
        </w:rPr>
        <w:t>Samantekt úr</w:t>
      </w:r>
      <w:r w:rsidRPr="006E499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Bibliometric Study in Support of Norway‘s Strategy for International Research Collaboration (2014)</w:t>
      </w:r>
    </w:p>
    <w:p w:rsidR="00025587" w:rsidRPr="006E4991" w:rsidRDefault="00025587" w:rsidP="00025587">
      <w:pPr>
        <w:rPr>
          <w:rFonts w:cstheme="minorHAnsi"/>
        </w:rPr>
      </w:pPr>
    </w:p>
    <w:p w:rsidR="00E20624" w:rsidRPr="006E4991" w:rsidRDefault="00761712" w:rsidP="000A741D">
      <w:pPr>
        <w:spacing w:line="360" w:lineRule="auto"/>
        <w:jc w:val="both"/>
        <w:rPr>
          <w:rFonts w:cstheme="minorHAnsi"/>
        </w:rPr>
      </w:pPr>
      <w:r w:rsidRPr="006E4991">
        <w:rPr>
          <w:rFonts w:cstheme="minorHAnsi"/>
        </w:rPr>
        <w:t>Í byrjun árs 2014 kom út skýrsla á vegum norska rannsóknaráðsins (Forskningsrådet) um bib</w:t>
      </w:r>
      <w:r w:rsidR="000932E5">
        <w:rPr>
          <w:rFonts w:cstheme="minorHAnsi"/>
        </w:rPr>
        <w:t>l</w:t>
      </w:r>
      <w:r w:rsidRPr="006E4991">
        <w:rPr>
          <w:rFonts w:cstheme="minorHAnsi"/>
        </w:rPr>
        <w:t xml:space="preserve">íómetrískar mælingar á ritrýndum útgáfum og </w:t>
      </w:r>
      <w:r w:rsidR="00A462D4" w:rsidRPr="006E4991">
        <w:rPr>
          <w:rFonts w:cstheme="minorHAnsi"/>
        </w:rPr>
        <w:t>samstarfi rannsóknaaðila (</w:t>
      </w:r>
      <w:r w:rsidRPr="006E4991">
        <w:rPr>
          <w:rFonts w:cstheme="minorHAnsi"/>
          <w:i/>
        </w:rPr>
        <w:t>Bibliometric Study in Support of Norway‘s Strategy for International Research Collaboration</w:t>
      </w:r>
      <w:r w:rsidR="00A462D4" w:rsidRPr="006E4991">
        <w:rPr>
          <w:rFonts w:cstheme="minorHAnsi"/>
        </w:rPr>
        <w:t>). Skýrslan er unnin af Science-Metrix fyrirtækinu að beiðni ráðsins og er hún hugsuð sem ráðgefandi innlegg í stefnu ráðsins er snýr að alþjóðlegu samstarfi. Leitast er við að kortleggja frammistöðu Noregs í samanburði við 57 önnur lönd innan og utan Evrópu og bað ráðið að sérstaklega yrðu skoðuð og skilgreind 15 áherslusvið í því tilliti</w:t>
      </w:r>
      <w:r w:rsidR="00CD5A54" w:rsidRPr="006E4991">
        <w:rPr>
          <w:rFonts w:cstheme="minorHAnsi"/>
        </w:rPr>
        <w:t>.</w:t>
      </w:r>
      <w:r w:rsidR="00A462D4" w:rsidRPr="006E4991">
        <w:rPr>
          <w:rStyle w:val="FootnoteReference"/>
          <w:rFonts w:cstheme="minorHAnsi"/>
        </w:rPr>
        <w:footnoteReference w:id="1"/>
      </w:r>
      <w:r w:rsidR="000932E5">
        <w:rPr>
          <w:rFonts w:cstheme="minorHAnsi"/>
        </w:rPr>
        <w:t xml:space="preserve"> Við lestur skýrslunnar og neðangreindra niðurstaðna er því mikilvægt að hafa í huga að greiningin miðast við forsendur sem norska rannsóknarráðsins og óskir þeirra um greiningu. </w:t>
      </w:r>
      <w:r w:rsidR="00CD5A54" w:rsidRPr="006E4991">
        <w:rPr>
          <w:rFonts w:cstheme="minorHAnsi"/>
        </w:rPr>
        <w:t>Hér verður farið stuttlega yfir helstu niðurstöður skýrslunnar sem snúa sérstaklega að Íslandi og reynt að draga upp mynd af stöðu Íslands innan helstu mælikvarða.</w:t>
      </w:r>
      <w:bookmarkStart w:id="0" w:name="_GoBack"/>
      <w:bookmarkEnd w:id="0"/>
    </w:p>
    <w:p w:rsidR="00E20624" w:rsidRDefault="00E75C49" w:rsidP="00903646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Almennt um</w:t>
      </w:r>
      <w:r w:rsidR="006E4991" w:rsidRPr="006E4991">
        <w:rPr>
          <w:rFonts w:cstheme="minorHAnsi"/>
          <w:b/>
        </w:rPr>
        <w:t xml:space="preserve"> íslenskar birtingar</w:t>
      </w:r>
    </w:p>
    <w:p w:rsidR="006E4991" w:rsidRDefault="006E4991" w:rsidP="000A741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Við greininguna </w:t>
      </w:r>
      <w:r w:rsidR="006B0997">
        <w:rPr>
          <w:rFonts w:cstheme="minorHAnsi"/>
        </w:rPr>
        <w:t>var</w:t>
      </w:r>
      <w:r>
        <w:rPr>
          <w:rFonts w:cstheme="minorHAnsi"/>
        </w:rPr>
        <w:t xml:space="preserve"> notast við Scopus gagnabankann og einungis </w:t>
      </w:r>
      <w:r w:rsidR="006B0997">
        <w:rPr>
          <w:rFonts w:cstheme="minorHAnsi"/>
        </w:rPr>
        <w:t>var</w:t>
      </w:r>
      <w:r>
        <w:rPr>
          <w:rFonts w:cstheme="minorHAnsi"/>
        </w:rPr>
        <w:t xml:space="preserve"> talið útgefið efni í ritrýndum v</w:t>
      </w:r>
      <w:r w:rsidR="00353360">
        <w:rPr>
          <w:rFonts w:cstheme="minorHAnsi"/>
        </w:rPr>
        <w:t xml:space="preserve">ísindaritum (aðallega </w:t>
      </w:r>
      <w:r>
        <w:rPr>
          <w:rFonts w:cstheme="minorHAnsi"/>
        </w:rPr>
        <w:t>greinar, yfirlitsgreinar og ráðstefnurit).</w:t>
      </w:r>
      <w:r w:rsidR="00353360">
        <w:rPr>
          <w:rFonts w:cstheme="minorHAnsi"/>
        </w:rPr>
        <w:t xml:space="preserve"> Hafa ber í huga</w:t>
      </w:r>
      <w:r w:rsidR="000932E5">
        <w:rPr>
          <w:rFonts w:cstheme="minorHAnsi"/>
        </w:rPr>
        <w:t xml:space="preserve"> að</w:t>
      </w:r>
      <w:r w:rsidR="00353360">
        <w:rPr>
          <w:rFonts w:cstheme="minorHAnsi"/>
        </w:rPr>
        <w:t xml:space="preserve"> birtingarmynstur fræðasviða eru mismunandi og að gagnabankar á borð við Scopus og Web of Science (WoS) ná ekki eins vel utan um birtingar innan hug- og félagsvísinda og birtingar á öðru tungumáli en ensku. Scopus er þó talinn ná betur utan um umfang fyrrgreindra sviða en WoS.</w:t>
      </w:r>
    </w:p>
    <w:p w:rsidR="00E75C49" w:rsidRDefault="00E75C49" w:rsidP="000A741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Heildarfjöldi íslenskra birtinga á árunum 2003-2012 voru 4.368 talsins (hlutdeildartalning</w:t>
      </w:r>
      <w:r>
        <w:rPr>
          <w:rStyle w:val="FootnoteReference"/>
          <w:rFonts w:cstheme="minorHAnsi"/>
        </w:rPr>
        <w:footnoteReference w:id="2"/>
      </w:r>
      <w:r>
        <w:rPr>
          <w:rFonts w:cstheme="minorHAnsi"/>
        </w:rPr>
        <w:t xml:space="preserve">). </w:t>
      </w:r>
      <w:r w:rsidR="003A0659">
        <w:rPr>
          <w:rFonts w:cstheme="minorHAnsi"/>
        </w:rPr>
        <w:t xml:space="preserve">Sé tímarammanum skipt upp í tvö tímabil (2003-2007/2008-2012) og þau borin saman má sjá að fjöldi íslenskra birtinga </w:t>
      </w:r>
      <w:r w:rsidR="003118E7">
        <w:rPr>
          <w:rFonts w:cstheme="minorHAnsi"/>
        </w:rPr>
        <w:t>jókst</w:t>
      </w:r>
      <w:r w:rsidR="003A0659">
        <w:rPr>
          <w:rFonts w:cstheme="minorHAnsi"/>
        </w:rPr>
        <w:t xml:space="preserve"> um 62%. Þetta er töluverður vöxtur, sérstaklega þegar tekið er mið af heimsmeðaltali (36%), meðaltali Norðurlandanna (21%) og Evrópusambandslandanna 28 (25%).</w:t>
      </w:r>
    </w:p>
    <w:p w:rsidR="003A0659" w:rsidRDefault="00385558" w:rsidP="000A741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Skýrslan reynir auk þess að ná utan um áhrif birtinga með því að mæla fjölda tilvísana og staðla á þann hátt að mögulegt </w:t>
      </w:r>
      <w:r w:rsidR="000932E5">
        <w:rPr>
          <w:rFonts w:cstheme="minorHAnsi"/>
        </w:rPr>
        <w:t>sé</w:t>
      </w:r>
      <w:r>
        <w:rPr>
          <w:rFonts w:cstheme="minorHAnsi"/>
        </w:rPr>
        <w:t xml:space="preserve"> að ákvarða stöðu land</w:t>
      </w:r>
      <w:r w:rsidR="006B0997">
        <w:rPr>
          <w:rFonts w:cstheme="minorHAnsi"/>
        </w:rPr>
        <w:t>sins út frá heimsmeðaltali (1</w:t>
      </w:r>
      <w:r>
        <w:rPr>
          <w:rFonts w:cstheme="minorHAnsi"/>
        </w:rPr>
        <w:t>).</w:t>
      </w:r>
      <w:r w:rsidR="00325C25">
        <w:rPr>
          <w:rFonts w:cstheme="minorHAnsi"/>
        </w:rPr>
        <w:t xml:space="preserve"> </w:t>
      </w:r>
      <w:r w:rsidR="003118E7">
        <w:rPr>
          <w:rFonts w:cstheme="minorHAnsi"/>
        </w:rPr>
        <w:t>Gildi yfir 1</w:t>
      </w:r>
      <w:r w:rsidR="009175E7">
        <w:rPr>
          <w:rFonts w:cstheme="minorHAnsi"/>
        </w:rPr>
        <w:t xml:space="preserve"> þýðir því að meira er vitnað í </w:t>
      </w:r>
      <w:r w:rsidR="009175E7">
        <w:rPr>
          <w:rFonts w:cstheme="minorHAnsi"/>
        </w:rPr>
        <w:lastRenderedPageBreak/>
        <w:t>útgefið efni tiltekins lands/einingar sé miðað við he</w:t>
      </w:r>
      <w:r w:rsidR="003118E7">
        <w:rPr>
          <w:rFonts w:cstheme="minorHAnsi"/>
        </w:rPr>
        <w:t>imsmeðaltal, en gildi undir 1</w:t>
      </w:r>
      <w:r w:rsidR="009175E7">
        <w:rPr>
          <w:rFonts w:cstheme="minorHAnsi"/>
        </w:rPr>
        <w:t xml:space="preserve"> hið andstæða.</w:t>
      </w:r>
      <w:r>
        <w:rPr>
          <w:rFonts w:cstheme="minorHAnsi"/>
        </w:rPr>
        <w:t xml:space="preserve"> Á þessum mælikvarða </w:t>
      </w:r>
      <w:r w:rsidR="003118E7">
        <w:rPr>
          <w:rFonts w:cstheme="minorHAnsi"/>
        </w:rPr>
        <w:t>kom</w:t>
      </w:r>
      <w:r>
        <w:rPr>
          <w:rFonts w:cstheme="minorHAnsi"/>
        </w:rPr>
        <w:t xml:space="preserve"> Ísl</w:t>
      </w:r>
      <w:r w:rsidR="003118E7">
        <w:rPr>
          <w:rFonts w:cstheme="minorHAnsi"/>
        </w:rPr>
        <w:t>and sérstaklega vel út og raðaðist</w:t>
      </w:r>
      <w:r>
        <w:rPr>
          <w:rFonts w:cstheme="minorHAnsi"/>
        </w:rPr>
        <w:t xml:space="preserve"> í fyrsta sæti bæði þegar tekið </w:t>
      </w:r>
      <w:r w:rsidR="003118E7">
        <w:rPr>
          <w:rFonts w:cstheme="minorHAnsi"/>
        </w:rPr>
        <w:t>var</w:t>
      </w:r>
      <w:r>
        <w:rPr>
          <w:rFonts w:cstheme="minorHAnsi"/>
        </w:rPr>
        <w:t xml:space="preserve"> tillit til allra birtinga (1,72) og ei</w:t>
      </w:r>
      <w:r w:rsidR="003118E7">
        <w:rPr>
          <w:rFonts w:cstheme="minorHAnsi"/>
        </w:rPr>
        <w:t>ns þegar alþjóðlegar birtingar voru</w:t>
      </w:r>
      <w:r>
        <w:rPr>
          <w:rFonts w:cstheme="minorHAnsi"/>
        </w:rPr>
        <w:t xml:space="preserve"> skoðaðar sérstaklega (</w:t>
      </w:r>
      <w:r w:rsidR="00AC52C4">
        <w:rPr>
          <w:rFonts w:cstheme="minorHAnsi"/>
        </w:rPr>
        <w:t>2,13).</w:t>
      </w:r>
      <w:r>
        <w:rPr>
          <w:rFonts w:cstheme="minorHAnsi"/>
        </w:rPr>
        <w:t xml:space="preserve"> </w:t>
      </w:r>
    </w:p>
    <w:p w:rsidR="007A794C" w:rsidRPr="00452F93" w:rsidRDefault="007A794C" w:rsidP="007A794C">
      <w:pPr>
        <w:pStyle w:val="Caption"/>
        <w:keepNext/>
        <w:rPr>
          <w:color w:val="auto"/>
          <w:sz w:val="20"/>
          <w:szCs w:val="20"/>
        </w:rPr>
      </w:pPr>
      <w:r w:rsidRPr="00452F93">
        <w:rPr>
          <w:color w:val="auto"/>
          <w:sz w:val="20"/>
          <w:szCs w:val="20"/>
        </w:rPr>
        <w:t xml:space="preserve">Mynd </w:t>
      </w:r>
      <w:r w:rsidRPr="00452F93">
        <w:rPr>
          <w:color w:val="auto"/>
          <w:sz w:val="20"/>
          <w:szCs w:val="20"/>
        </w:rPr>
        <w:fldChar w:fldCharType="begin"/>
      </w:r>
      <w:r w:rsidRPr="00452F93">
        <w:rPr>
          <w:color w:val="auto"/>
          <w:sz w:val="20"/>
          <w:szCs w:val="20"/>
        </w:rPr>
        <w:instrText xml:space="preserve"> SEQ Mynd \* ARABIC </w:instrText>
      </w:r>
      <w:r w:rsidRPr="00452F93">
        <w:rPr>
          <w:color w:val="auto"/>
          <w:sz w:val="20"/>
          <w:szCs w:val="20"/>
        </w:rPr>
        <w:fldChar w:fldCharType="separate"/>
      </w:r>
      <w:r w:rsidR="00B87178">
        <w:rPr>
          <w:noProof/>
          <w:color w:val="auto"/>
          <w:sz w:val="20"/>
          <w:szCs w:val="20"/>
        </w:rPr>
        <w:t>1</w:t>
      </w:r>
      <w:r w:rsidRPr="00452F93">
        <w:rPr>
          <w:color w:val="auto"/>
          <w:sz w:val="20"/>
          <w:szCs w:val="20"/>
        </w:rPr>
        <w:fldChar w:fldCharType="end"/>
      </w:r>
      <w:r w:rsidRPr="00452F93">
        <w:rPr>
          <w:color w:val="auto"/>
          <w:sz w:val="20"/>
          <w:szCs w:val="20"/>
        </w:rPr>
        <w:t xml:space="preserve"> – Tilvísanastuðull (</w:t>
      </w:r>
      <w:r w:rsidRPr="00452F93">
        <w:rPr>
          <w:i/>
          <w:color w:val="auto"/>
          <w:sz w:val="20"/>
          <w:szCs w:val="20"/>
        </w:rPr>
        <w:t>e. average relative citations</w:t>
      </w:r>
      <w:r w:rsidRPr="00452F93">
        <w:rPr>
          <w:color w:val="auto"/>
          <w:sz w:val="20"/>
          <w:szCs w:val="20"/>
        </w:rPr>
        <w:t>) Íslands og valinna samanburðalanda</w:t>
      </w:r>
      <w:r w:rsidR="0029723B">
        <w:rPr>
          <w:color w:val="auto"/>
          <w:sz w:val="20"/>
          <w:szCs w:val="20"/>
        </w:rPr>
        <w:t>, 2003-2012</w:t>
      </w:r>
    </w:p>
    <w:p w:rsidR="00AC52C4" w:rsidRDefault="007A794C" w:rsidP="003A0659">
      <w:pPr>
        <w:spacing w:line="360" w:lineRule="auto"/>
        <w:rPr>
          <w:rFonts w:cstheme="minorHAnsi"/>
        </w:rPr>
      </w:pPr>
      <w:r w:rsidRPr="007A794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64245</wp:posOffset>
                </wp:positionH>
                <wp:positionV relativeFrom="paragraph">
                  <wp:posOffset>2517444</wp:posOffset>
                </wp:positionV>
                <wp:extent cx="2374265" cy="238539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94C" w:rsidRPr="007A794C" w:rsidRDefault="007A79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94C">
                              <w:rPr>
                                <w:sz w:val="16"/>
                                <w:szCs w:val="16"/>
                              </w:rPr>
                              <w:t>Heimsmeðaltal = 1,00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198.2pt;width:186.95pt;height:18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" stroked="f">
                <v:textbox>
                  <w:txbxContent>
                    <w:p w:rsidR="007A794C" w:rsidRPr="007A794C" w:rsidRDefault="007A794C">
                      <w:pPr>
                        <w:rPr>
                          <w:sz w:val="16"/>
                          <w:szCs w:val="16"/>
                        </w:rPr>
                      </w:pPr>
                      <w:r w:rsidRPr="007A794C">
                        <w:rPr>
                          <w:sz w:val="16"/>
                          <w:szCs w:val="16"/>
                        </w:rPr>
                        <w:t>Heimsmeðaltal = 1,00</w:t>
                      </w:r>
                    </w:p>
                  </w:txbxContent>
                </v:textbox>
              </v:shape>
            </w:pict>
          </mc:Fallback>
        </mc:AlternateContent>
      </w:r>
      <w:r w:rsidR="00AC52C4">
        <w:rPr>
          <w:noProof/>
        </w:rPr>
        <w:drawing>
          <wp:inline distT="0" distB="0" distL="0" distR="0" wp14:anchorId="2C19EEF2" wp14:editId="1771E4E0">
            <wp:extent cx="5422790" cy="2592125"/>
            <wp:effectExtent l="0" t="0" r="698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0659" w:rsidRPr="006E4991" w:rsidRDefault="003A0659" w:rsidP="006E4991">
      <w:pPr>
        <w:rPr>
          <w:rFonts w:cstheme="minorHAnsi"/>
        </w:rPr>
      </w:pPr>
    </w:p>
    <w:p w:rsidR="007A794C" w:rsidRDefault="00237B0E" w:rsidP="00903646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Alþjóðlegt samstarf og sambirtingar</w:t>
      </w:r>
    </w:p>
    <w:p w:rsidR="007A794C" w:rsidRDefault="003E5B41" w:rsidP="000A741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Prósentuhlutfall alþjóðlegra sambirtinga Íslands </w:t>
      </w:r>
      <w:r w:rsidR="00611DBD">
        <w:rPr>
          <w:rFonts w:cstheme="minorHAnsi"/>
        </w:rPr>
        <w:t>var</w:t>
      </w:r>
      <w:r>
        <w:rPr>
          <w:rFonts w:cstheme="minorHAnsi"/>
        </w:rPr>
        <w:t xml:space="preserve"> 29% á árunum 2003-2012</w:t>
      </w:r>
      <w:r w:rsidR="00611DBD">
        <w:rPr>
          <w:rFonts w:cstheme="minorHAnsi"/>
        </w:rPr>
        <w:t xml:space="preserve"> samanborið við 17% á Norðurlöndunum, 14% innan ESB-28 landanna og 10% á heimsv</w:t>
      </w:r>
      <w:r w:rsidR="003118E7">
        <w:rPr>
          <w:rFonts w:cstheme="minorHAnsi"/>
        </w:rPr>
        <w:t>ísu. Aukning</w:t>
      </w:r>
      <w:r w:rsidR="00611DBD">
        <w:rPr>
          <w:rFonts w:cstheme="minorHAnsi"/>
        </w:rPr>
        <w:t xml:space="preserve"> fyrrgreindra birtinga var</w:t>
      </w:r>
      <w:r>
        <w:rPr>
          <w:rFonts w:cstheme="minorHAnsi"/>
        </w:rPr>
        <w:t xml:space="preserve"> </w:t>
      </w:r>
      <w:r w:rsidR="00611DBD">
        <w:rPr>
          <w:rFonts w:cstheme="minorHAnsi"/>
        </w:rPr>
        <w:t xml:space="preserve">um </w:t>
      </w:r>
      <w:r>
        <w:rPr>
          <w:rFonts w:cstheme="minorHAnsi"/>
        </w:rPr>
        <w:t>8%</w:t>
      </w:r>
      <w:r w:rsidR="00611DBD">
        <w:rPr>
          <w:rFonts w:cstheme="minorHAnsi"/>
        </w:rPr>
        <w:t xml:space="preserve"> á Íslandi</w:t>
      </w:r>
      <w:r>
        <w:rPr>
          <w:rFonts w:cstheme="minorHAnsi"/>
        </w:rPr>
        <w:t xml:space="preserve"> </w:t>
      </w:r>
      <w:r w:rsidR="003118E7">
        <w:rPr>
          <w:rFonts w:cstheme="minorHAnsi"/>
        </w:rPr>
        <w:t xml:space="preserve">milli tímabila (2003-2007/2008-2012) </w:t>
      </w:r>
      <w:r w:rsidR="00611DBD">
        <w:rPr>
          <w:rFonts w:cstheme="minorHAnsi"/>
        </w:rPr>
        <w:t>sem</w:t>
      </w:r>
      <w:r w:rsidR="003118E7">
        <w:rPr>
          <w:rFonts w:cstheme="minorHAnsi"/>
        </w:rPr>
        <w:t xml:space="preserve"> var</w:t>
      </w:r>
      <w:r w:rsidR="00611DBD">
        <w:rPr>
          <w:rFonts w:cstheme="minorHAnsi"/>
        </w:rPr>
        <w:t xml:space="preserve">  í ætt við hlutfall ESB-28 landanna (9%), </w:t>
      </w:r>
      <w:r w:rsidR="003118E7">
        <w:rPr>
          <w:rFonts w:cstheme="minorHAnsi"/>
        </w:rPr>
        <w:t xml:space="preserve">eilítið </w:t>
      </w:r>
      <w:r w:rsidR="00611DBD">
        <w:rPr>
          <w:rFonts w:cstheme="minorHAnsi"/>
        </w:rPr>
        <w:t>lægra en hlutfall Norðurl</w:t>
      </w:r>
      <w:r w:rsidR="003118E7">
        <w:rPr>
          <w:rFonts w:cstheme="minorHAnsi"/>
        </w:rPr>
        <w:t>andanna (13%) og aðeins hærra</w:t>
      </w:r>
      <w:r w:rsidR="00611DBD">
        <w:rPr>
          <w:rFonts w:cstheme="minorHAnsi"/>
        </w:rPr>
        <w:t xml:space="preserve"> en heimsmeðaltal </w:t>
      </w:r>
      <w:r w:rsidR="003118E7">
        <w:rPr>
          <w:rFonts w:cstheme="minorHAnsi"/>
        </w:rPr>
        <w:t xml:space="preserve"> </w:t>
      </w:r>
      <w:r w:rsidR="00611DBD">
        <w:rPr>
          <w:rFonts w:cstheme="minorHAnsi"/>
        </w:rPr>
        <w:t>upp á 3%.</w:t>
      </w:r>
    </w:p>
    <w:p w:rsidR="00237B0E" w:rsidRDefault="00237B0E" w:rsidP="000A741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Í skýrslunni </w:t>
      </w:r>
      <w:r w:rsidR="006B0997">
        <w:rPr>
          <w:rFonts w:cstheme="minorHAnsi"/>
        </w:rPr>
        <w:t>var</w:t>
      </w:r>
      <w:r>
        <w:rPr>
          <w:rFonts w:cstheme="minorHAnsi"/>
        </w:rPr>
        <w:t xml:space="preserve"> alþjóðlegt samstarf einnig skoðað út frá</w:t>
      </w:r>
      <w:r w:rsidR="00FB0CFA">
        <w:rPr>
          <w:rFonts w:cstheme="minorHAnsi"/>
        </w:rPr>
        <w:t xml:space="preserve"> svokölluðum samstarfsstuðli</w:t>
      </w:r>
      <w:r>
        <w:rPr>
          <w:rFonts w:cstheme="minorHAnsi"/>
        </w:rPr>
        <w:t xml:space="preserve"> </w:t>
      </w:r>
      <w:r w:rsidR="00452F93">
        <w:rPr>
          <w:rFonts w:cstheme="minorHAnsi"/>
        </w:rPr>
        <w:t>(</w:t>
      </w:r>
      <w:r w:rsidR="00452F93" w:rsidRPr="00452F93">
        <w:rPr>
          <w:rFonts w:cstheme="minorHAnsi"/>
          <w:i/>
        </w:rPr>
        <w:t>e. collaboration index</w:t>
      </w:r>
      <w:r w:rsidR="00452F93">
        <w:rPr>
          <w:rFonts w:cstheme="minorHAnsi"/>
        </w:rPr>
        <w:t xml:space="preserve">) </w:t>
      </w:r>
      <w:r>
        <w:rPr>
          <w:rFonts w:cstheme="minorHAnsi"/>
        </w:rPr>
        <w:t xml:space="preserve">þar sem reiknað er út </w:t>
      </w:r>
      <w:r w:rsidR="00452F93">
        <w:rPr>
          <w:rFonts w:cstheme="minorHAnsi"/>
        </w:rPr>
        <w:t>hverskonar umfang</w:t>
      </w:r>
      <w:r>
        <w:rPr>
          <w:rFonts w:cstheme="minorHAnsi"/>
        </w:rPr>
        <w:t xml:space="preserve"> alþjóðlegs samstarfs má vænta út frá umfangi birtinga. Gildi yfir 1 gefur til kynna að landið er í meira alþjóðlegu samstarfi en vænst er en gildi undir 1 </w:t>
      </w:r>
      <w:r w:rsidR="00FB0CFA">
        <w:rPr>
          <w:rFonts w:cstheme="minorHAnsi"/>
        </w:rPr>
        <w:t>hið and</w:t>
      </w:r>
      <w:r w:rsidR="003118E7">
        <w:rPr>
          <w:rFonts w:cstheme="minorHAnsi"/>
        </w:rPr>
        <w:t>stæða. Á þessum mælikvarða hafði</w:t>
      </w:r>
      <w:r w:rsidR="00FB0CFA">
        <w:rPr>
          <w:rFonts w:cstheme="minorHAnsi"/>
        </w:rPr>
        <w:t xml:space="preserve"> Ísland gildið</w:t>
      </w:r>
      <w:r w:rsidR="003118E7">
        <w:rPr>
          <w:rFonts w:cstheme="minorHAnsi"/>
        </w:rPr>
        <w:t xml:space="preserve"> 1,25 sem þýðir það að landið var</w:t>
      </w:r>
      <w:r w:rsidR="00FB0CFA">
        <w:rPr>
          <w:rFonts w:cstheme="minorHAnsi"/>
        </w:rPr>
        <w:t xml:space="preserve"> í </w:t>
      </w:r>
      <w:r w:rsidR="00452F93">
        <w:rPr>
          <w:rFonts w:cstheme="minorHAnsi"/>
        </w:rPr>
        <w:t>fjórðungi meira</w:t>
      </w:r>
      <w:r w:rsidR="00FB0CFA">
        <w:rPr>
          <w:rFonts w:cstheme="minorHAnsi"/>
        </w:rPr>
        <w:t xml:space="preserve"> alþj</w:t>
      </w:r>
      <w:r w:rsidR="00FD70CA">
        <w:rPr>
          <w:rFonts w:cstheme="minorHAnsi"/>
        </w:rPr>
        <w:t>óðlegu samstarfi</w:t>
      </w:r>
      <w:r w:rsidR="003118E7">
        <w:rPr>
          <w:rFonts w:cstheme="minorHAnsi"/>
        </w:rPr>
        <w:t xml:space="preserve"> en heildarumfang birtinga gaf</w:t>
      </w:r>
      <w:r w:rsidR="00FD70CA">
        <w:rPr>
          <w:rFonts w:cstheme="minorHAnsi"/>
        </w:rPr>
        <w:t xml:space="preserve"> ástæðu til skv. fyrrgreindum samstarfsstuðli.</w:t>
      </w:r>
    </w:p>
    <w:p w:rsidR="00452F93" w:rsidRPr="00452F93" w:rsidRDefault="00452F93" w:rsidP="00452F93">
      <w:pPr>
        <w:pStyle w:val="Caption"/>
        <w:keepNext/>
        <w:rPr>
          <w:rFonts w:cstheme="minorHAnsi"/>
          <w:color w:val="auto"/>
          <w:sz w:val="20"/>
        </w:rPr>
      </w:pPr>
      <w:r w:rsidRPr="00452F93">
        <w:rPr>
          <w:rFonts w:cstheme="minorHAnsi"/>
          <w:color w:val="auto"/>
          <w:sz w:val="20"/>
        </w:rPr>
        <w:lastRenderedPageBreak/>
        <w:t xml:space="preserve">Mynd </w:t>
      </w:r>
      <w:r w:rsidRPr="00452F93">
        <w:rPr>
          <w:rFonts w:cstheme="minorHAnsi"/>
          <w:color w:val="auto"/>
          <w:sz w:val="20"/>
        </w:rPr>
        <w:fldChar w:fldCharType="begin"/>
      </w:r>
      <w:r w:rsidRPr="00452F93">
        <w:rPr>
          <w:rFonts w:cstheme="minorHAnsi"/>
          <w:color w:val="auto"/>
          <w:sz w:val="20"/>
        </w:rPr>
        <w:instrText xml:space="preserve"> SEQ Mynd \* ARABIC </w:instrText>
      </w:r>
      <w:r w:rsidRPr="00452F93">
        <w:rPr>
          <w:rFonts w:cstheme="minorHAnsi"/>
          <w:color w:val="auto"/>
          <w:sz w:val="20"/>
        </w:rPr>
        <w:fldChar w:fldCharType="separate"/>
      </w:r>
      <w:r w:rsidR="00B87178">
        <w:rPr>
          <w:rFonts w:cstheme="minorHAnsi"/>
          <w:noProof/>
          <w:color w:val="auto"/>
          <w:sz w:val="20"/>
        </w:rPr>
        <w:t>2</w:t>
      </w:r>
      <w:r w:rsidRPr="00452F93">
        <w:rPr>
          <w:rFonts w:cstheme="minorHAnsi"/>
          <w:color w:val="auto"/>
          <w:sz w:val="20"/>
        </w:rPr>
        <w:fldChar w:fldCharType="end"/>
      </w:r>
      <w:r w:rsidRPr="00452F93">
        <w:rPr>
          <w:rFonts w:cstheme="minorHAnsi"/>
          <w:color w:val="auto"/>
          <w:sz w:val="20"/>
        </w:rPr>
        <w:t xml:space="preserve"> </w:t>
      </w:r>
      <w:r>
        <w:rPr>
          <w:rFonts w:cstheme="minorHAnsi"/>
          <w:color w:val="auto"/>
          <w:sz w:val="20"/>
        </w:rPr>
        <w:t>–</w:t>
      </w:r>
      <w:r w:rsidRPr="00452F93">
        <w:rPr>
          <w:rFonts w:cstheme="minorHAnsi"/>
          <w:color w:val="auto"/>
          <w:sz w:val="20"/>
        </w:rPr>
        <w:t xml:space="preserve"> Samstarfsstuðull Íslands og valinna samanburðalanda</w:t>
      </w:r>
      <w:r w:rsidR="0029723B">
        <w:rPr>
          <w:rFonts w:cstheme="minorHAnsi"/>
          <w:color w:val="auto"/>
          <w:sz w:val="20"/>
        </w:rPr>
        <w:t>, 2003-2012</w:t>
      </w:r>
    </w:p>
    <w:p w:rsidR="00452F93" w:rsidRDefault="00452F93" w:rsidP="007A794C">
      <w:pPr>
        <w:rPr>
          <w:rFonts w:cstheme="minorHAnsi"/>
        </w:rPr>
      </w:pPr>
      <w:r>
        <w:rPr>
          <w:noProof/>
        </w:rPr>
        <w:drawing>
          <wp:inline distT="0" distB="0" distL="0" distR="0" wp14:anchorId="4E26BD72" wp14:editId="3D4D28B4">
            <wp:extent cx="5398936" cy="2528514"/>
            <wp:effectExtent l="0" t="0" r="0" b="571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70CA" w:rsidRPr="007A794C" w:rsidRDefault="00FD70CA" w:rsidP="007A794C">
      <w:pPr>
        <w:rPr>
          <w:rFonts w:cstheme="minorHAnsi"/>
        </w:rPr>
      </w:pPr>
    </w:p>
    <w:p w:rsidR="003F7495" w:rsidRPr="007926D9" w:rsidRDefault="007926D9" w:rsidP="00903646">
      <w:pPr>
        <w:spacing w:line="360" w:lineRule="auto"/>
        <w:ind w:left="-284" w:right="1"/>
        <w:jc w:val="both"/>
        <w:rPr>
          <w:b/>
        </w:rPr>
      </w:pPr>
      <w:r w:rsidRPr="007926D9">
        <w:rPr>
          <w:b/>
        </w:rPr>
        <w:t>Staða Íslands innan valinna áherslusviða</w:t>
      </w:r>
    </w:p>
    <w:p w:rsidR="007926D9" w:rsidRDefault="007926D9" w:rsidP="00903646">
      <w:pPr>
        <w:spacing w:line="360" w:lineRule="auto"/>
        <w:ind w:left="-284" w:right="1"/>
        <w:jc w:val="both"/>
      </w:pPr>
      <w:r>
        <w:t>Líkt og áður sagði hafði norska rannsóknaráðið áhuga á að skoða sérstaklega birtingar innan 15 skilgreindra áherslusviða (</w:t>
      </w:r>
      <w:r w:rsidRPr="007926D9">
        <w:rPr>
          <w:i/>
        </w:rPr>
        <w:t>e. strategic themes</w:t>
      </w:r>
      <w:r>
        <w:t>) og bera saman frammistöðu Noregs við önnur lönd t.a.m. með tilliti til fjölda birtinga, vaxtar, sérhæfingar og tilvísana.</w:t>
      </w:r>
    </w:p>
    <w:p w:rsidR="007926D9" w:rsidRDefault="003118E7" w:rsidP="00903646">
      <w:pPr>
        <w:spacing w:line="360" w:lineRule="auto"/>
        <w:ind w:left="-284" w:right="1"/>
        <w:jc w:val="both"/>
      </w:pPr>
      <w:r>
        <w:t>Þegar borin voru</w:t>
      </w:r>
      <w:r w:rsidR="00487E29">
        <w:t xml:space="preserve"> saman tímabilin 2003-2007 og 2008-2012 má</w:t>
      </w:r>
      <w:r>
        <w:t>tti</w:t>
      </w:r>
      <w:r w:rsidR="00487E29">
        <w:t xml:space="preserve"> sjá að aukning</w:t>
      </w:r>
      <w:r w:rsidR="007926D9">
        <w:t xml:space="preserve"> var á fjölda íslenskra birtinga á öllum áherslusviðum</w:t>
      </w:r>
      <w:r w:rsidR="00487E29">
        <w:t xml:space="preserve"> fyrir utan orkurannsóknir. Aukning var umfram heimsmeðaltal á eftirfarandi sviðum: Sjávarútvegur og fiskeldi, hafrannsóknir, líftækni, heilsa og umönnun, menntavísindi, matvælarannsóknir, upplýsingatækni og örtækni.</w:t>
      </w:r>
    </w:p>
    <w:p w:rsidR="00487E29" w:rsidRPr="00F02974" w:rsidRDefault="00487E29" w:rsidP="00487E29">
      <w:pPr>
        <w:pStyle w:val="Caption"/>
        <w:keepNext/>
        <w:jc w:val="both"/>
        <w:rPr>
          <w:rFonts w:cstheme="minorHAnsi"/>
          <w:color w:val="auto"/>
          <w:sz w:val="20"/>
          <w:szCs w:val="20"/>
        </w:rPr>
      </w:pPr>
      <w:r w:rsidRPr="00F02974">
        <w:rPr>
          <w:rFonts w:cstheme="minorHAnsi"/>
          <w:color w:val="auto"/>
          <w:sz w:val="20"/>
          <w:szCs w:val="20"/>
        </w:rPr>
        <w:lastRenderedPageBreak/>
        <w:t xml:space="preserve">Mynd </w:t>
      </w:r>
      <w:r w:rsidRPr="00F02974">
        <w:rPr>
          <w:rFonts w:cstheme="minorHAnsi"/>
          <w:color w:val="auto"/>
          <w:sz w:val="20"/>
          <w:szCs w:val="20"/>
        </w:rPr>
        <w:fldChar w:fldCharType="begin"/>
      </w:r>
      <w:r w:rsidRPr="00F02974">
        <w:rPr>
          <w:rFonts w:cstheme="minorHAnsi"/>
          <w:color w:val="auto"/>
          <w:sz w:val="20"/>
          <w:szCs w:val="20"/>
        </w:rPr>
        <w:instrText xml:space="preserve"> SEQ Mynd \* ARABIC </w:instrText>
      </w:r>
      <w:r w:rsidRPr="00F02974">
        <w:rPr>
          <w:rFonts w:cstheme="minorHAnsi"/>
          <w:color w:val="auto"/>
          <w:sz w:val="20"/>
          <w:szCs w:val="20"/>
        </w:rPr>
        <w:fldChar w:fldCharType="separate"/>
      </w:r>
      <w:r w:rsidR="00B87178">
        <w:rPr>
          <w:rFonts w:cstheme="minorHAnsi"/>
          <w:noProof/>
          <w:color w:val="auto"/>
          <w:sz w:val="20"/>
          <w:szCs w:val="20"/>
        </w:rPr>
        <w:t>3</w:t>
      </w:r>
      <w:r w:rsidRPr="00F02974">
        <w:rPr>
          <w:rFonts w:cstheme="minorHAnsi"/>
          <w:color w:val="auto"/>
          <w:sz w:val="20"/>
          <w:szCs w:val="20"/>
        </w:rPr>
        <w:fldChar w:fldCharType="end"/>
      </w:r>
      <w:r w:rsidRPr="00F02974">
        <w:rPr>
          <w:rFonts w:cstheme="minorHAnsi"/>
          <w:color w:val="auto"/>
          <w:sz w:val="20"/>
          <w:szCs w:val="20"/>
        </w:rPr>
        <w:t xml:space="preserve"> -  </w:t>
      </w:r>
      <w:r w:rsidR="00F02974" w:rsidRPr="00F02974">
        <w:rPr>
          <w:rFonts w:cstheme="minorHAnsi"/>
          <w:color w:val="auto"/>
          <w:sz w:val="20"/>
          <w:szCs w:val="20"/>
        </w:rPr>
        <w:t xml:space="preserve">Þróun </w:t>
      </w:r>
      <w:r w:rsidRPr="00F02974">
        <w:rPr>
          <w:rFonts w:cstheme="minorHAnsi"/>
          <w:color w:val="auto"/>
          <w:sz w:val="20"/>
          <w:szCs w:val="20"/>
        </w:rPr>
        <w:t>íslenskra birtinga innan valinna áherslusviða, 2003-2007/2008-2012</w:t>
      </w:r>
    </w:p>
    <w:p w:rsidR="00487E29" w:rsidRDefault="00487E29" w:rsidP="00A4586C">
      <w:pPr>
        <w:ind w:left="-284" w:right="1"/>
        <w:jc w:val="both"/>
      </w:pPr>
      <w:r>
        <w:rPr>
          <w:noProof/>
        </w:rPr>
        <w:drawing>
          <wp:inline distT="0" distB="0" distL="0" distR="0" wp14:anchorId="3E5CE3F6" wp14:editId="44F186F8">
            <wp:extent cx="5820355" cy="2941983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39FB" w:rsidRDefault="00F02974" w:rsidP="00903646">
      <w:pPr>
        <w:spacing w:line="360" w:lineRule="auto"/>
        <w:ind w:left="-284" w:right="1"/>
        <w:jc w:val="both"/>
      </w:pPr>
      <w:r>
        <w:t xml:space="preserve">Í skýrslunni </w:t>
      </w:r>
      <w:r w:rsidR="006B0997">
        <w:t>var</w:t>
      </w:r>
      <w:r>
        <w:t xml:space="preserve"> einnig kynntur til sögunnar svokallaður sérhæfingarstuðull (</w:t>
      </w:r>
      <w:r w:rsidRPr="006B0997">
        <w:rPr>
          <w:i/>
        </w:rPr>
        <w:t>e. specialisation index</w:t>
      </w:r>
      <w:r>
        <w:t>) en með honum er reynt að kortleggja hvar sérhæfing eða þungi í rannsóknum liggur með því að skoða hvernig birtingar landsins deilast niður á fyrrgreind áherslusvið. Dreifing birtinganna er síðan borin saman við dreifingu heildarbirtinga í gagnabankanum</w:t>
      </w:r>
      <w:r w:rsidR="002B39FB">
        <w:t xml:space="preserve"> </w:t>
      </w:r>
      <w:r>
        <w:t xml:space="preserve">og </w:t>
      </w:r>
      <w:r w:rsidR="002B39FB">
        <w:t>er þá mögulegt að bera stöðu landsins sa</w:t>
      </w:r>
      <w:r w:rsidR="006B0997">
        <w:t>man við staðlað heimsgildi (1</w:t>
      </w:r>
      <w:r w:rsidR="002B39FB">
        <w:t>). Sérhæfing í íslenskum birtingum mældist mest innan pólrannsókna, þ.e. rannsókna á Norðurslóðum og Suðurskauti, og þar á eftir í rannsóknum á sjávarútvegi og fiskeldi. Í heildina var sérhæfing í íslenskum birtingum meiri en á heimsvísu á 11 áherslusviðum af 15. Einungis í orkurannsóknum (0,97), upplýsingatækni (0,86), umhverfistækni (0,49) og örtækni var sérhæfing minni miðað við heimsmeðaltal (sjá mynd 4).</w:t>
      </w:r>
    </w:p>
    <w:p w:rsidR="0029723B" w:rsidRPr="0029723B" w:rsidRDefault="0029723B" w:rsidP="0029723B">
      <w:pPr>
        <w:pStyle w:val="Caption"/>
        <w:keepNext/>
        <w:jc w:val="both"/>
        <w:rPr>
          <w:rFonts w:cstheme="minorHAnsi"/>
          <w:color w:val="auto"/>
          <w:sz w:val="20"/>
        </w:rPr>
      </w:pPr>
      <w:r w:rsidRPr="0029723B">
        <w:rPr>
          <w:rFonts w:cstheme="minorHAnsi"/>
          <w:color w:val="auto"/>
          <w:sz w:val="20"/>
        </w:rPr>
        <w:lastRenderedPageBreak/>
        <w:t xml:space="preserve">Mynd </w:t>
      </w:r>
      <w:r w:rsidRPr="0029723B">
        <w:rPr>
          <w:rFonts w:cstheme="minorHAnsi"/>
          <w:color w:val="auto"/>
          <w:sz w:val="20"/>
        </w:rPr>
        <w:fldChar w:fldCharType="begin"/>
      </w:r>
      <w:r w:rsidRPr="0029723B">
        <w:rPr>
          <w:rFonts w:cstheme="minorHAnsi"/>
          <w:color w:val="auto"/>
          <w:sz w:val="20"/>
        </w:rPr>
        <w:instrText xml:space="preserve"> SEQ Mynd \* ARABIC </w:instrText>
      </w:r>
      <w:r w:rsidRPr="0029723B">
        <w:rPr>
          <w:rFonts w:cstheme="minorHAnsi"/>
          <w:color w:val="auto"/>
          <w:sz w:val="20"/>
        </w:rPr>
        <w:fldChar w:fldCharType="separate"/>
      </w:r>
      <w:r w:rsidR="00B87178">
        <w:rPr>
          <w:rFonts w:cstheme="minorHAnsi"/>
          <w:noProof/>
          <w:color w:val="auto"/>
          <w:sz w:val="20"/>
        </w:rPr>
        <w:t>4</w:t>
      </w:r>
      <w:r w:rsidRPr="0029723B">
        <w:rPr>
          <w:rFonts w:cstheme="minorHAnsi"/>
          <w:color w:val="auto"/>
          <w:sz w:val="20"/>
        </w:rPr>
        <w:fldChar w:fldCharType="end"/>
      </w:r>
      <w:r w:rsidRPr="0029723B">
        <w:rPr>
          <w:rFonts w:cstheme="minorHAnsi"/>
          <w:color w:val="auto"/>
          <w:sz w:val="20"/>
        </w:rPr>
        <w:t xml:space="preserve"> - Sérhæfing á Íslandi m.t.t. dreifingu birtinga innan valdra áherslusviða, 2003-2012</w:t>
      </w:r>
    </w:p>
    <w:p w:rsidR="002B39FB" w:rsidRDefault="0029723B" w:rsidP="002B39FB">
      <w:pPr>
        <w:ind w:left="-284" w:right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C3A27" wp14:editId="431FDE3B">
                <wp:simplePos x="0" y="0"/>
                <wp:positionH relativeFrom="column">
                  <wp:posOffset>72445</wp:posOffset>
                </wp:positionH>
                <wp:positionV relativeFrom="paragraph">
                  <wp:posOffset>3242945</wp:posOffset>
                </wp:positionV>
                <wp:extent cx="2484755" cy="2381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23B" w:rsidRPr="007A794C" w:rsidRDefault="0029723B" w:rsidP="002972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94C">
                              <w:rPr>
                                <w:sz w:val="16"/>
                                <w:szCs w:val="16"/>
                              </w:rPr>
                              <w:t>Heimsmeðaltal = 1,00</w:t>
                            </w:r>
                          </w:p>
                          <w:p w:rsidR="0029723B" w:rsidRDefault="002972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.7pt;margin-top:255.35pt;width:195.6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" stroked="f">
                <v:textbox>
                  <w:txbxContent>
                    <w:p w:rsidR="0029723B" w:rsidRPr="007A794C" w:rsidRDefault="0029723B" w:rsidP="0029723B">
                      <w:pPr>
                        <w:rPr>
                          <w:sz w:val="16"/>
                          <w:szCs w:val="16"/>
                        </w:rPr>
                      </w:pPr>
                      <w:r w:rsidRPr="007A794C">
                        <w:rPr>
                          <w:sz w:val="16"/>
                          <w:szCs w:val="16"/>
                        </w:rPr>
                        <w:t>Heimsmeðaltal = 1,00</w:t>
                      </w:r>
                    </w:p>
                    <w:p w:rsidR="0029723B" w:rsidRDefault="0029723B"/>
                  </w:txbxContent>
                </v:textbox>
              </v:shape>
            </w:pict>
          </mc:Fallback>
        </mc:AlternateContent>
      </w:r>
      <w:r w:rsidR="002B39FB" w:rsidRPr="002B39FB">
        <w:rPr>
          <w:noProof/>
          <w:sz w:val="20"/>
        </w:rPr>
        <w:drawing>
          <wp:inline distT="0" distB="0" distL="0" distR="0" wp14:anchorId="25A668CD" wp14:editId="7C0F390A">
            <wp:extent cx="5351228" cy="3315693"/>
            <wp:effectExtent l="0" t="0" r="190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723B" w:rsidRDefault="0029723B" w:rsidP="00903646">
      <w:pPr>
        <w:spacing w:line="360" w:lineRule="auto"/>
        <w:ind w:left="-284" w:right="1"/>
        <w:jc w:val="both"/>
      </w:pPr>
    </w:p>
    <w:p w:rsidR="0029723B" w:rsidRDefault="006B0997" w:rsidP="00903646">
      <w:pPr>
        <w:spacing w:line="360" w:lineRule="auto"/>
        <w:ind w:left="-284" w:right="1"/>
        <w:jc w:val="both"/>
      </w:pPr>
      <w:r>
        <w:t xml:space="preserve">Hvað tilvísanir varðar voru áhrif íslenskra birtinga yfirleitt </w:t>
      </w:r>
      <w:r w:rsidR="0029723B">
        <w:t xml:space="preserve">meiri </w:t>
      </w:r>
      <w:r>
        <w:t xml:space="preserve">en birtinga </w:t>
      </w:r>
      <w:r w:rsidR="0029723B">
        <w:t>á heimsvísu</w:t>
      </w:r>
      <w:r>
        <w:t xml:space="preserve"> </w:t>
      </w:r>
      <w:r w:rsidR="0029723B">
        <w:t xml:space="preserve">innan næstum allra þeirra áherslusviða sem skilgreind </w:t>
      </w:r>
      <w:r>
        <w:t xml:space="preserve">voru </w:t>
      </w:r>
      <w:r w:rsidR="0029723B">
        <w:t>í skýrslunni. Ei</w:t>
      </w:r>
      <w:r>
        <w:t>nungis á sviði orkarannsókna voru</w:t>
      </w:r>
      <w:r w:rsidR="0029723B">
        <w:t xml:space="preserve"> </w:t>
      </w:r>
      <w:r w:rsidR="00B87178">
        <w:t>áhrif birtinga örlítið</w:t>
      </w:r>
      <w:r>
        <w:t xml:space="preserve"> minni en búast hefði mátt</w:t>
      </w:r>
      <w:r w:rsidR="0029723B">
        <w:t xml:space="preserve"> v</w:t>
      </w:r>
      <w:r>
        <w:t>ið miðað við heimsmeðaltal (1</w:t>
      </w:r>
      <w:r w:rsidR="0029723B">
        <w:t>).</w:t>
      </w:r>
      <w:r>
        <w:t xml:space="preserve"> Hér stóðu</w:t>
      </w:r>
      <w:r w:rsidR="00B87178">
        <w:t xml:space="preserve"> birtingar í líftækni upp úr með gildi upp á 2,41 (sjá mynd 5).</w:t>
      </w:r>
    </w:p>
    <w:p w:rsidR="00B87178" w:rsidRDefault="00B87178" w:rsidP="002B39FB">
      <w:pPr>
        <w:ind w:left="-284" w:right="1"/>
        <w:jc w:val="both"/>
      </w:pPr>
    </w:p>
    <w:p w:rsidR="00B87178" w:rsidRPr="00B87178" w:rsidRDefault="00B87178" w:rsidP="00B87178">
      <w:pPr>
        <w:pStyle w:val="Caption"/>
        <w:keepNext/>
        <w:jc w:val="both"/>
        <w:rPr>
          <w:color w:val="auto"/>
          <w:sz w:val="20"/>
          <w:szCs w:val="20"/>
        </w:rPr>
      </w:pPr>
      <w:r w:rsidRPr="00B87178">
        <w:rPr>
          <w:color w:val="auto"/>
          <w:sz w:val="20"/>
          <w:szCs w:val="20"/>
        </w:rPr>
        <w:lastRenderedPageBreak/>
        <w:t xml:space="preserve">Mynd </w:t>
      </w:r>
      <w:r w:rsidRPr="00B87178">
        <w:rPr>
          <w:color w:val="auto"/>
          <w:sz w:val="20"/>
          <w:szCs w:val="20"/>
        </w:rPr>
        <w:fldChar w:fldCharType="begin"/>
      </w:r>
      <w:r w:rsidRPr="00B87178">
        <w:rPr>
          <w:color w:val="auto"/>
          <w:sz w:val="20"/>
          <w:szCs w:val="20"/>
        </w:rPr>
        <w:instrText xml:space="preserve"> SEQ Mynd \* ARABIC </w:instrText>
      </w:r>
      <w:r w:rsidRPr="00B87178">
        <w:rPr>
          <w:color w:val="auto"/>
          <w:sz w:val="20"/>
          <w:szCs w:val="20"/>
        </w:rPr>
        <w:fldChar w:fldCharType="separate"/>
      </w:r>
      <w:r w:rsidRPr="00B87178">
        <w:rPr>
          <w:noProof/>
          <w:color w:val="auto"/>
          <w:sz w:val="20"/>
          <w:szCs w:val="20"/>
        </w:rPr>
        <w:t>5</w:t>
      </w:r>
      <w:r w:rsidRPr="00B87178">
        <w:rPr>
          <w:color w:val="auto"/>
          <w:sz w:val="20"/>
          <w:szCs w:val="20"/>
        </w:rPr>
        <w:fldChar w:fldCharType="end"/>
      </w:r>
      <w:r w:rsidRPr="00B87178">
        <w:rPr>
          <w:color w:val="auto"/>
          <w:sz w:val="20"/>
          <w:szCs w:val="20"/>
        </w:rPr>
        <w:t xml:space="preserve"> - Áhrif íslenskra birtinga innan valdra áherslusviða, 2003-2012</w:t>
      </w:r>
    </w:p>
    <w:p w:rsidR="00B87178" w:rsidRDefault="00B87178" w:rsidP="002B39FB">
      <w:pPr>
        <w:ind w:left="-284" w:right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2FB7B" wp14:editId="1E268EC1">
                <wp:simplePos x="0" y="0"/>
                <wp:positionH relativeFrom="column">
                  <wp:posOffset>-180644</wp:posOffset>
                </wp:positionH>
                <wp:positionV relativeFrom="paragraph">
                  <wp:posOffset>3315970</wp:posOffset>
                </wp:positionV>
                <wp:extent cx="2484755" cy="2381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178" w:rsidRPr="007A794C" w:rsidRDefault="00B87178" w:rsidP="00B87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794C">
                              <w:rPr>
                                <w:sz w:val="16"/>
                                <w:szCs w:val="16"/>
                              </w:rPr>
                              <w:t>Heimsmeðaltal = 1,00</w:t>
                            </w:r>
                          </w:p>
                          <w:p w:rsidR="00B87178" w:rsidRDefault="00B87178" w:rsidP="00B87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4.2pt;margin-top:261.1pt;width:195.6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" stroked="f">
                <v:textbox>
                  <w:txbxContent>
                    <w:p w:rsidR="00B87178" w:rsidRPr="007A794C" w:rsidRDefault="00B87178" w:rsidP="00B87178">
                      <w:pPr>
                        <w:rPr>
                          <w:sz w:val="16"/>
                          <w:szCs w:val="16"/>
                        </w:rPr>
                      </w:pPr>
                      <w:r w:rsidRPr="007A794C">
                        <w:rPr>
                          <w:sz w:val="16"/>
                          <w:szCs w:val="16"/>
                        </w:rPr>
                        <w:t>Heimsmeðaltal = 1,00</w:t>
                      </w:r>
                    </w:p>
                    <w:p w:rsidR="00B87178" w:rsidRDefault="00B87178" w:rsidP="00B8717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6B1F06" wp14:editId="08921D19">
            <wp:extent cx="5351228" cy="3315694"/>
            <wp:effectExtent l="0" t="0" r="190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7178" w:rsidRDefault="00B87178" w:rsidP="002B39FB">
      <w:pPr>
        <w:ind w:left="-284" w:right="1"/>
        <w:jc w:val="both"/>
      </w:pPr>
    </w:p>
    <w:p w:rsidR="009175E7" w:rsidRDefault="009175E7" w:rsidP="002B39FB">
      <w:pPr>
        <w:ind w:left="-284" w:right="1"/>
        <w:jc w:val="both"/>
        <w:rPr>
          <w:b/>
        </w:rPr>
      </w:pPr>
      <w:r w:rsidRPr="009175E7">
        <w:rPr>
          <w:b/>
        </w:rPr>
        <w:t>Samstarf við Noreg</w:t>
      </w:r>
    </w:p>
    <w:p w:rsidR="000E5730" w:rsidRDefault="000E5730" w:rsidP="000E5730">
      <w:pPr>
        <w:ind w:left="-284" w:right="1"/>
        <w:jc w:val="both"/>
      </w:pPr>
      <w:r>
        <w:t xml:space="preserve">Þar sem tilgangur skýrslunnar var að kortleggja alþjóðlegt samstarf og samstarfsmöguleika Noregs og vera ráðgefandi hvað varðar stefnumótun á sviði alþjóðlegs samstarfs er áhugavert skoða á hvaða sviðum talið er að Noregur gæti hagnast á samstarfi við Ísland. </w:t>
      </w:r>
    </w:p>
    <w:p w:rsidR="009175E7" w:rsidRDefault="000E5730" w:rsidP="000E5730">
      <w:pPr>
        <w:ind w:left="-284" w:right="1"/>
        <w:jc w:val="both"/>
      </w:pPr>
      <w:r>
        <w:t xml:space="preserve">Ekki kemur á óvart að Noregur er í miklu samstarfi við sína næstu nágranna sem sýnir að landfræðileg nálægð og menningarleg tengsl spila stóra rullu í alþjóðlegu samstarfsmynstri landa. Innan hvers áherslusviðs voru lykilsamstarfsaðilar tilgreindir og auk þess aðilar sem skoða ætti frekara samstarf við. </w:t>
      </w:r>
      <w:r w:rsidR="00E154CA">
        <w:t xml:space="preserve">Ísland </w:t>
      </w:r>
      <w:r>
        <w:t>var</w:t>
      </w:r>
      <w:r w:rsidR="00E154CA">
        <w:t xml:space="preserve"> n</w:t>
      </w:r>
      <w:r w:rsidR="00B96274">
        <w:t>efnt á fimm stöðum</w:t>
      </w:r>
      <w:r>
        <w:t xml:space="preserve"> í því tilliti</w:t>
      </w:r>
      <w:r w:rsidR="00B96274">
        <w:t>, ásamt því að</w:t>
      </w:r>
      <w:r w:rsidR="00E154CA">
        <w:t xml:space="preserve"> lykilrannsóknaraðilar </w:t>
      </w:r>
      <w:r>
        <w:t>hér á landi</w:t>
      </w:r>
      <w:r w:rsidR="002C309A">
        <w:t xml:space="preserve"> </w:t>
      </w:r>
      <w:r w:rsidR="00E154CA">
        <w:t>sem vænlegt væri að huga að frekari samstarfi</w:t>
      </w:r>
      <w:r w:rsidR="002C309A">
        <w:t xml:space="preserve"> við </w:t>
      </w:r>
      <w:r>
        <w:t>voru</w:t>
      </w:r>
      <w:r w:rsidR="002C309A">
        <w:t xml:space="preserve"> tilgreindir</w:t>
      </w:r>
      <w:r w:rsidR="00E154CA">
        <w:t>:</w:t>
      </w:r>
    </w:p>
    <w:p w:rsidR="00E154CA" w:rsidRDefault="00E154CA" w:rsidP="00E154CA">
      <w:pPr>
        <w:pStyle w:val="ListParagraph"/>
        <w:numPr>
          <w:ilvl w:val="0"/>
          <w:numId w:val="1"/>
        </w:numPr>
        <w:ind w:right="1"/>
        <w:jc w:val="both"/>
      </w:pPr>
      <w:r>
        <w:t>Pólrannsóknir (Háskóli Íslands)</w:t>
      </w:r>
    </w:p>
    <w:p w:rsidR="00E154CA" w:rsidRDefault="00E154CA" w:rsidP="00E154CA">
      <w:pPr>
        <w:pStyle w:val="ListParagraph"/>
        <w:numPr>
          <w:ilvl w:val="0"/>
          <w:numId w:val="1"/>
        </w:numPr>
        <w:ind w:right="1"/>
        <w:jc w:val="both"/>
      </w:pPr>
      <w:r>
        <w:t>Líftækni (</w:t>
      </w:r>
      <w:r w:rsidR="002C309A">
        <w:t>Íslensk erfðagreining</w:t>
      </w:r>
      <w:r>
        <w:t>)</w:t>
      </w:r>
    </w:p>
    <w:p w:rsidR="000E5730" w:rsidRDefault="00E154CA" w:rsidP="000E5730">
      <w:pPr>
        <w:pStyle w:val="ListParagraph"/>
        <w:numPr>
          <w:ilvl w:val="0"/>
          <w:numId w:val="1"/>
        </w:numPr>
        <w:ind w:right="1"/>
        <w:jc w:val="both"/>
      </w:pPr>
      <w:r>
        <w:t>Sjávarútvegur og fiskeldi (</w:t>
      </w:r>
      <w:r w:rsidR="002C309A">
        <w:t>Matís)</w:t>
      </w:r>
    </w:p>
    <w:p w:rsidR="002C309A" w:rsidRDefault="002C309A" w:rsidP="00E154CA">
      <w:pPr>
        <w:pStyle w:val="ListParagraph"/>
        <w:numPr>
          <w:ilvl w:val="0"/>
          <w:numId w:val="1"/>
        </w:numPr>
        <w:ind w:right="1"/>
        <w:jc w:val="both"/>
      </w:pPr>
      <w:r>
        <w:t>Heilsa og umönnun (</w:t>
      </w:r>
      <w:r w:rsidR="00DE4B4C">
        <w:t>Íslensk erfðagreining</w:t>
      </w:r>
      <w:r>
        <w:t>)</w:t>
      </w:r>
    </w:p>
    <w:p w:rsidR="002C309A" w:rsidRPr="009175E7" w:rsidRDefault="002C309A" w:rsidP="00E154CA">
      <w:pPr>
        <w:pStyle w:val="ListParagraph"/>
        <w:numPr>
          <w:ilvl w:val="0"/>
          <w:numId w:val="1"/>
        </w:numPr>
        <w:ind w:right="1"/>
        <w:jc w:val="both"/>
      </w:pPr>
      <w:r>
        <w:t>Upplýsingatækni (Háskólinn í Reykjavík)</w:t>
      </w:r>
    </w:p>
    <w:sectPr w:rsidR="002C309A" w:rsidRPr="009175E7" w:rsidSect="002726BE">
      <w:headerReference w:type="default" r:id="rId14"/>
      <w:footerReference w:type="default" r:id="rId15"/>
      <w:pgSz w:w="11906" w:h="16838"/>
      <w:pgMar w:top="279" w:right="70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5A" w:rsidRDefault="00FD235A" w:rsidP="00025587">
      <w:pPr>
        <w:spacing w:after="0" w:line="240" w:lineRule="auto"/>
      </w:pPr>
      <w:r>
        <w:separator/>
      </w:r>
    </w:p>
  </w:endnote>
  <w:endnote w:type="continuationSeparator" w:id="0">
    <w:p w:rsidR="00FD235A" w:rsidRDefault="00FD235A" w:rsidP="0002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414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918" w:rsidRDefault="00071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4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1918" w:rsidRDefault="00071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5A" w:rsidRDefault="00FD235A" w:rsidP="00025587">
      <w:pPr>
        <w:spacing w:after="0" w:line="240" w:lineRule="auto"/>
      </w:pPr>
      <w:r>
        <w:separator/>
      </w:r>
    </w:p>
  </w:footnote>
  <w:footnote w:type="continuationSeparator" w:id="0">
    <w:p w:rsidR="00FD235A" w:rsidRDefault="00FD235A" w:rsidP="00025587">
      <w:pPr>
        <w:spacing w:after="0" w:line="240" w:lineRule="auto"/>
      </w:pPr>
      <w:r>
        <w:continuationSeparator/>
      </w:r>
    </w:p>
  </w:footnote>
  <w:footnote w:id="1">
    <w:p w:rsidR="00A462D4" w:rsidRDefault="00A462D4">
      <w:pPr>
        <w:pStyle w:val="FootnoteText"/>
      </w:pPr>
      <w:r>
        <w:rPr>
          <w:rStyle w:val="FootnoteReference"/>
        </w:rPr>
        <w:footnoteRef/>
      </w:r>
      <w:r>
        <w:t xml:space="preserve"> Sjávarútvegur og fiskeldi; haf- og ferskvatnslíffræði; hafrannsóknir; velferð og vinna; menntavísindi; matvælarannsóknir; umhverfisrannsóknir; loftlagsbreytingar; umhverfistækni; pólrannsóknir; orkurannsóknir; heilsa og umönnun; líftækni; upplýsingatækni; og örtækni.</w:t>
      </w:r>
    </w:p>
  </w:footnote>
  <w:footnote w:id="2">
    <w:p w:rsidR="00E75C49" w:rsidRDefault="00E75C49">
      <w:pPr>
        <w:pStyle w:val="FootnoteText"/>
      </w:pPr>
      <w:r>
        <w:rPr>
          <w:rStyle w:val="FootnoteReference"/>
        </w:rPr>
        <w:footnoteRef/>
      </w:r>
      <w:r w:rsidR="000932E5">
        <w:t xml:space="preserve"> Hver birting fær eitt stig</w:t>
      </w:r>
      <w:r>
        <w:t xml:space="preserve"> sem er deilt niður á höfunda/birtingarríki. Séu höfundar fjórir fær hver um sig 0,25 stig og er summa birtingar alltaf 1. </w:t>
      </w:r>
      <w:r>
        <w:t>Sé notast við heildartalningu, þar sem hver höfundur/birtingarríki fær eitt stig fyrir hverja birtingu óháð því hvort um sambirtingu er að ræða, er heildarfjöldi birtinga Íslands 8.026.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87" w:rsidRDefault="00025587" w:rsidP="00025587">
    <w:pPr>
      <w:pStyle w:val="Header"/>
      <w:jc w:val="right"/>
    </w:pPr>
    <w:r>
      <w:rPr>
        <w:noProof/>
        <w:color w:val="0000FF"/>
      </w:rPr>
      <w:drawing>
        <wp:inline distT="0" distB="0" distL="0" distR="0" wp14:anchorId="679ED8A4" wp14:editId="53EA0928">
          <wp:extent cx="729374" cy="583601"/>
          <wp:effectExtent l="0" t="0" r="0" b="6985"/>
          <wp:docPr id="2" name="Picture 2" descr="http://www.rannis.is/files/images/logo1.png">
            <a:hlinkClick xmlns:a="http://schemas.openxmlformats.org/drawingml/2006/main" r:id="rId1" tooltip="&quot;Aftur á forsíðu vef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annis.is/files/images/logo1.png">
                    <a:hlinkClick r:id="rId1" tooltip="&quot;Aftur á forsíðu vef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48" cy="58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5587" w:rsidRDefault="00025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7E4"/>
    <w:multiLevelType w:val="hybridMultilevel"/>
    <w:tmpl w:val="5ECEA1C2"/>
    <w:lvl w:ilvl="0" w:tplc="F20682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796" w:hanging="360"/>
      </w:pPr>
    </w:lvl>
    <w:lvl w:ilvl="2" w:tplc="040F001B" w:tentative="1">
      <w:start w:val="1"/>
      <w:numFmt w:val="lowerRoman"/>
      <w:lvlText w:val="%3."/>
      <w:lvlJc w:val="right"/>
      <w:pPr>
        <w:ind w:left="1516" w:hanging="180"/>
      </w:pPr>
    </w:lvl>
    <w:lvl w:ilvl="3" w:tplc="040F000F" w:tentative="1">
      <w:start w:val="1"/>
      <w:numFmt w:val="decimal"/>
      <w:lvlText w:val="%4."/>
      <w:lvlJc w:val="left"/>
      <w:pPr>
        <w:ind w:left="2236" w:hanging="360"/>
      </w:pPr>
    </w:lvl>
    <w:lvl w:ilvl="4" w:tplc="040F0019" w:tentative="1">
      <w:start w:val="1"/>
      <w:numFmt w:val="lowerLetter"/>
      <w:lvlText w:val="%5."/>
      <w:lvlJc w:val="left"/>
      <w:pPr>
        <w:ind w:left="2956" w:hanging="360"/>
      </w:pPr>
    </w:lvl>
    <w:lvl w:ilvl="5" w:tplc="040F001B" w:tentative="1">
      <w:start w:val="1"/>
      <w:numFmt w:val="lowerRoman"/>
      <w:lvlText w:val="%6."/>
      <w:lvlJc w:val="right"/>
      <w:pPr>
        <w:ind w:left="3676" w:hanging="180"/>
      </w:pPr>
    </w:lvl>
    <w:lvl w:ilvl="6" w:tplc="040F000F" w:tentative="1">
      <w:start w:val="1"/>
      <w:numFmt w:val="decimal"/>
      <w:lvlText w:val="%7."/>
      <w:lvlJc w:val="left"/>
      <w:pPr>
        <w:ind w:left="4396" w:hanging="360"/>
      </w:pPr>
    </w:lvl>
    <w:lvl w:ilvl="7" w:tplc="040F0019" w:tentative="1">
      <w:start w:val="1"/>
      <w:numFmt w:val="lowerLetter"/>
      <w:lvlText w:val="%8."/>
      <w:lvlJc w:val="left"/>
      <w:pPr>
        <w:ind w:left="5116" w:hanging="360"/>
      </w:pPr>
    </w:lvl>
    <w:lvl w:ilvl="8" w:tplc="040F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87"/>
    <w:rsid w:val="00025587"/>
    <w:rsid w:val="000262FC"/>
    <w:rsid w:val="00071918"/>
    <w:rsid w:val="000932E5"/>
    <w:rsid w:val="000A741D"/>
    <w:rsid w:val="000C14F6"/>
    <w:rsid w:val="000E5730"/>
    <w:rsid w:val="002006E6"/>
    <w:rsid w:val="00237B0E"/>
    <w:rsid w:val="002726BE"/>
    <w:rsid w:val="0029723B"/>
    <w:rsid w:val="002B39FB"/>
    <w:rsid w:val="002C309A"/>
    <w:rsid w:val="003118E7"/>
    <w:rsid w:val="00325C25"/>
    <w:rsid w:val="00353360"/>
    <w:rsid w:val="00385558"/>
    <w:rsid w:val="003955CD"/>
    <w:rsid w:val="003A0659"/>
    <w:rsid w:val="003E5B41"/>
    <w:rsid w:val="003F7495"/>
    <w:rsid w:val="00452F93"/>
    <w:rsid w:val="0045413D"/>
    <w:rsid w:val="00476822"/>
    <w:rsid w:val="00487E29"/>
    <w:rsid w:val="004954A7"/>
    <w:rsid w:val="00586559"/>
    <w:rsid w:val="00596C17"/>
    <w:rsid w:val="005A16FF"/>
    <w:rsid w:val="00611DBD"/>
    <w:rsid w:val="006B0997"/>
    <w:rsid w:val="006C5EF4"/>
    <w:rsid w:val="006E4991"/>
    <w:rsid w:val="006E65BD"/>
    <w:rsid w:val="00761712"/>
    <w:rsid w:val="007926D9"/>
    <w:rsid w:val="007A794C"/>
    <w:rsid w:val="008425B2"/>
    <w:rsid w:val="00903646"/>
    <w:rsid w:val="009175E7"/>
    <w:rsid w:val="009B02CC"/>
    <w:rsid w:val="00A4586C"/>
    <w:rsid w:val="00A462D4"/>
    <w:rsid w:val="00A64335"/>
    <w:rsid w:val="00AC52C4"/>
    <w:rsid w:val="00B33D71"/>
    <w:rsid w:val="00B46FFE"/>
    <w:rsid w:val="00B87178"/>
    <w:rsid w:val="00B96274"/>
    <w:rsid w:val="00CD5A54"/>
    <w:rsid w:val="00DE4B4C"/>
    <w:rsid w:val="00E154CA"/>
    <w:rsid w:val="00E20314"/>
    <w:rsid w:val="00E20624"/>
    <w:rsid w:val="00E3694D"/>
    <w:rsid w:val="00E75C49"/>
    <w:rsid w:val="00EE3D4C"/>
    <w:rsid w:val="00F02974"/>
    <w:rsid w:val="00FB0CFA"/>
    <w:rsid w:val="00FD235A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587"/>
  </w:style>
  <w:style w:type="paragraph" w:styleId="Footer">
    <w:name w:val="footer"/>
    <w:basedOn w:val="Normal"/>
    <w:link w:val="FooterChar"/>
    <w:uiPriority w:val="99"/>
    <w:unhideWhenUsed/>
    <w:rsid w:val="0002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587"/>
  </w:style>
  <w:style w:type="paragraph" w:styleId="BalloonText">
    <w:name w:val="Balloon Text"/>
    <w:basedOn w:val="Normal"/>
    <w:link w:val="BalloonTextChar"/>
    <w:uiPriority w:val="99"/>
    <w:semiHidden/>
    <w:unhideWhenUsed/>
    <w:rsid w:val="0002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5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E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458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8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86C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4586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972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1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587"/>
  </w:style>
  <w:style w:type="paragraph" w:styleId="Footer">
    <w:name w:val="footer"/>
    <w:basedOn w:val="Normal"/>
    <w:link w:val="FooterChar"/>
    <w:uiPriority w:val="99"/>
    <w:unhideWhenUsed/>
    <w:rsid w:val="0002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587"/>
  </w:style>
  <w:style w:type="paragraph" w:styleId="BalloonText">
    <w:name w:val="Balloon Text"/>
    <w:basedOn w:val="Normal"/>
    <w:link w:val="BalloonTextChar"/>
    <w:uiPriority w:val="99"/>
    <w:semiHidden/>
    <w:unhideWhenUsed/>
    <w:rsid w:val="0002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5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5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E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458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86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86C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4586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972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1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annis.is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ESB-28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2448261287155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Tilvísanastuðull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1.1200000000000001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Lúxemborg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Tilvísanastuðull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Írland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Tilvísanastuðull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1.35</c:v>
                </c:pt>
              </c:numCache>
            </c:numRef>
          </c:val>
        </c:ser>
        <c:ser>
          <c:idx val="4"/>
          <c:order val="3"/>
          <c:tx>
            <c:strRef>
              <c:f>Sheet1!$E$1</c:f>
              <c:strCache>
                <c:ptCount val="1"/>
                <c:pt idx="0">
                  <c:v>Bandaríkin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Tilvísanastuðull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1.39</c:v>
                </c:pt>
              </c:numCache>
            </c:numRef>
          </c:val>
        </c:ser>
        <c:ser>
          <c:idx val="5"/>
          <c:order val="4"/>
          <c:tx>
            <c:strRef>
              <c:f>Sheet1!$F$1</c:f>
              <c:strCache>
                <c:ptCount val="1"/>
                <c:pt idx="0">
                  <c:v>Norðurlöndin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smtClean="0"/>
                      <a:t>1,40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Tilvísanastuðull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1.4</c:v>
                </c:pt>
              </c:numCache>
            </c:numRef>
          </c:val>
        </c:ser>
        <c:ser>
          <c:idx val="6"/>
          <c:order val="5"/>
          <c:tx>
            <c:strRef>
              <c:f>Sheet1!$G$1</c:f>
              <c:strCache>
                <c:ptCount val="1"/>
                <c:pt idx="0">
                  <c:v>Bretland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Tilvísanastuðull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1.41</c:v>
                </c:pt>
              </c:numCache>
            </c:numRef>
          </c:val>
        </c:ser>
        <c:ser>
          <c:idx val="7"/>
          <c:order val="6"/>
          <c:tx>
            <c:strRef>
              <c:f>Sheet1!$H$1</c:f>
              <c:strCache>
                <c:ptCount val="1"/>
                <c:pt idx="0">
                  <c:v>Ísland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Tilvísanastuðull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1.72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7708672"/>
        <c:axId val="97730944"/>
      </c:barChart>
      <c:catAx>
        <c:axId val="97708672"/>
        <c:scaling>
          <c:orientation val="minMax"/>
        </c:scaling>
        <c:delete val="1"/>
        <c:axPos val="l"/>
        <c:majorTickMark val="out"/>
        <c:minorTickMark val="none"/>
        <c:tickLblPos val="nextTo"/>
        <c:crossAx val="97730944"/>
        <c:crosses val="autoZero"/>
        <c:auto val="1"/>
        <c:lblAlgn val="ctr"/>
        <c:lblOffset val="100"/>
        <c:noMultiLvlLbl val="0"/>
      </c:catAx>
      <c:valAx>
        <c:axId val="97730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is-IS"/>
          </a:p>
        </c:txPr>
        <c:crossAx val="977086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is-I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is-I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Bandaríkin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1.01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Írland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Finnland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1.1599999999999999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Noregur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1.24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Ísland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Lúxemborg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1.28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Danmörk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1.34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Bretland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1.39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Svíþjóð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Samstarfsstuðull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1.39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811072"/>
        <c:axId val="97841536"/>
        <c:axId val="0"/>
      </c:bar3DChart>
      <c:catAx>
        <c:axId val="97811072"/>
        <c:scaling>
          <c:orientation val="minMax"/>
        </c:scaling>
        <c:delete val="1"/>
        <c:axPos val="b"/>
        <c:majorTickMark val="out"/>
        <c:minorTickMark val="none"/>
        <c:tickLblPos val="nextTo"/>
        <c:crossAx val="97841536"/>
        <c:crosses val="autoZero"/>
        <c:auto val="1"/>
        <c:lblAlgn val="ctr"/>
        <c:lblOffset val="100"/>
        <c:noMultiLvlLbl val="0"/>
      </c:catAx>
      <c:valAx>
        <c:axId val="9784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is-IS"/>
          </a:p>
        </c:txPr>
        <c:crossAx val="97811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39044137585625"/>
          <c:y val="8.8066315604218293E-2"/>
          <c:w val="0.17349566655355797"/>
          <c:h val="0.88413950480815817"/>
        </c:manualLayout>
      </c:layout>
      <c:overlay val="0"/>
      <c:txPr>
        <a:bodyPr/>
        <a:lstStyle/>
        <a:p>
          <a:pPr>
            <a:defRPr sz="1200"/>
          </a:pPr>
          <a:endParaRPr lang="is-I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is-I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345181664118451"/>
          <c:y val="2.5999327032451329E-2"/>
          <c:w val="0.43672550492626039"/>
          <c:h val="0.8915079907452073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Heimsmeðaltal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Pólrannsóknir</c:v>
                </c:pt>
                <c:pt idx="1">
                  <c:v>Loftlagsbreytingar</c:v>
                </c:pt>
                <c:pt idx="2">
                  <c:v>Haf- og ferskvatnslíffræði</c:v>
                </c:pt>
                <c:pt idx="3">
                  <c:v>Umhverfisrannsóknir</c:v>
                </c:pt>
                <c:pt idx="4">
                  <c:v>Umhverfistækni</c:v>
                </c:pt>
                <c:pt idx="5">
                  <c:v>Heilsa og umönnun</c:v>
                </c:pt>
                <c:pt idx="6">
                  <c:v>Hafrannsóknir</c:v>
                </c:pt>
                <c:pt idx="7">
                  <c:v>Orkurannsóknir</c:v>
                </c:pt>
                <c:pt idx="8">
                  <c:v>Líftækni</c:v>
                </c:pt>
                <c:pt idx="9">
                  <c:v>Sjávarútvegur og fiskeldi</c:v>
                </c:pt>
                <c:pt idx="10">
                  <c:v>Matvælarannsóknir</c:v>
                </c:pt>
                <c:pt idx="11">
                  <c:v>Velferð og vinna</c:v>
                </c:pt>
                <c:pt idx="12">
                  <c:v>Menntavísindi</c:v>
                </c:pt>
                <c:pt idx="13">
                  <c:v>Upplýsingatækni</c:v>
                </c:pt>
                <c:pt idx="14">
                  <c:v>Örtækni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1.23</c:v>
                </c:pt>
                <c:pt idx="1">
                  <c:v>1.8</c:v>
                </c:pt>
                <c:pt idx="2">
                  <c:v>1.4</c:v>
                </c:pt>
                <c:pt idx="3">
                  <c:v>1.65</c:v>
                </c:pt>
                <c:pt idx="4">
                  <c:v>1.74</c:v>
                </c:pt>
                <c:pt idx="5">
                  <c:v>1.26</c:v>
                </c:pt>
                <c:pt idx="6">
                  <c:v>1.48</c:v>
                </c:pt>
                <c:pt idx="7">
                  <c:v>1.87</c:v>
                </c:pt>
                <c:pt idx="8">
                  <c:v>1.32</c:v>
                </c:pt>
                <c:pt idx="9">
                  <c:v>1.34</c:v>
                </c:pt>
                <c:pt idx="10">
                  <c:v>1.5</c:v>
                </c:pt>
                <c:pt idx="11">
                  <c:v>1.64</c:v>
                </c:pt>
                <c:pt idx="12">
                  <c:v>1.81</c:v>
                </c:pt>
                <c:pt idx="13">
                  <c:v>1.6</c:v>
                </c:pt>
                <c:pt idx="14">
                  <c:v>1.68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Ísland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Pólrannsóknir</c:v>
                </c:pt>
                <c:pt idx="1">
                  <c:v>Loftlagsbreytingar</c:v>
                </c:pt>
                <c:pt idx="2">
                  <c:v>Haf- og ferskvatnslíffræði</c:v>
                </c:pt>
                <c:pt idx="3">
                  <c:v>Umhverfisrannsóknir</c:v>
                </c:pt>
                <c:pt idx="4">
                  <c:v>Umhverfistækni</c:v>
                </c:pt>
                <c:pt idx="5">
                  <c:v>Heilsa og umönnun</c:v>
                </c:pt>
                <c:pt idx="6">
                  <c:v>Hafrannsóknir</c:v>
                </c:pt>
                <c:pt idx="7">
                  <c:v>Orkurannsóknir</c:v>
                </c:pt>
                <c:pt idx="8">
                  <c:v>Líftækni</c:v>
                </c:pt>
                <c:pt idx="9">
                  <c:v>Sjávarútvegur og fiskeldi</c:v>
                </c:pt>
                <c:pt idx="10">
                  <c:v>Matvælarannsóknir</c:v>
                </c:pt>
                <c:pt idx="11">
                  <c:v>Velferð og vinna</c:v>
                </c:pt>
                <c:pt idx="12">
                  <c:v>Menntavísindi</c:v>
                </c:pt>
                <c:pt idx="13">
                  <c:v>Upplýsingatækni</c:v>
                </c:pt>
                <c:pt idx="14">
                  <c:v>Örtækni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0.96</c:v>
                </c:pt>
                <c:pt idx="1">
                  <c:v>1.18</c:v>
                </c:pt>
                <c:pt idx="2">
                  <c:v>1.19</c:v>
                </c:pt>
                <c:pt idx="3">
                  <c:v>1.28</c:v>
                </c:pt>
                <c:pt idx="4">
                  <c:v>1.41</c:v>
                </c:pt>
                <c:pt idx="5">
                  <c:v>1.49</c:v>
                </c:pt>
                <c:pt idx="6">
                  <c:v>1.53</c:v>
                </c:pt>
                <c:pt idx="7">
                  <c:v>1.54</c:v>
                </c:pt>
                <c:pt idx="8">
                  <c:v>1.55</c:v>
                </c:pt>
                <c:pt idx="9">
                  <c:v>1.56</c:v>
                </c:pt>
                <c:pt idx="10">
                  <c:v>1.63</c:v>
                </c:pt>
                <c:pt idx="11">
                  <c:v>1.63</c:v>
                </c:pt>
                <c:pt idx="12">
                  <c:v>2.12</c:v>
                </c:pt>
                <c:pt idx="13">
                  <c:v>2.81</c:v>
                </c:pt>
                <c:pt idx="14">
                  <c:v>3.41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973376"/>
        <c:axId val="97974912"/>
        <c:axId val="0"/>
      </c:bar3DChart>
      <c:catAx>
        <c:axId val="979733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is-IS"/>
          </a:p>
        </c:txPr>
        <c:crossAx val="97974912"/>
        <c:crosses val="autoZero"/>
        <c:auto val="1"/>
        <c:lblAlgn val="ctr"/>
        <c:lblOffset val="100"/>
        <c:noMultiLvlLbl val="0"/>
      </c:catAx>
      <c:valAx>
        <c:axId val="97974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is-IS"/>
          </a:p>
        </c:txPr>
        <c:crossAx val="97973376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7972906008679812"/>
          <c:y val="0.35444481499485625"/>
          <c:w val="0.19011159253910062"/>
          <c:h val="0.12452766598460269"/>
        </c:manualLayout>
      </c:layout>
      <c:overlay val="0"/>
      <c:txPr>
        <a:bodyPr/>
        <a:lstStyle/>
        <a:p>
          <a:pPr>
            <a:defRPr sz="900"/>
          </a:pPr>
          <a:endParaRPr lang="is-I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is-I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Ísland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9596861980006149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000" smtClean="0"/>
                      <a:t>1,40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1000" smtClean="0"/>
                      <a:t>1,40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2.00616068824730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Sheet1!$A$2:$A$16</c:f>
              <c:strCache>
                <c:ptCount val="15"/>
                <c:pt idx="0">
                  <c:v>Örtækni</c:v>
                </c:pt>
                <c:pt idx="1">
                  <c:v>Umhverfistækni</c:v>
                </c:pt>
                <c:pt idx="2">
                  <c:v>Upplýsingatækni</c:v>
                </c:pt>
                <c:pt idx="3">
                  <c:v>Orkurannsóknir</c:v>
                </c:pt>
                <c:pt idx="4">
                  <c:v>Líftækni</c:v>
                </c:pt>
                <c:pt idx="5">
                  <c:v>Heilsa og umönnun</c:v>
                </c:pt>
                <c:pt idx="6">
                  <c:v>Umhverfisrannsóknir</c:v>
                </c:pt>
                <c:pt idx="7">
                  <c:v>Matvælarannsóknir</c:v>
                </c:pt>
                <c:pt idx="8">
                  <c:v>Menntavísindi</c:v>
                </c:pt>
                <c:pt idx="9">
                  <c:v>Velferð og vinna</c:v>
                </c:pt>
                <c:pt idx="10">
                  <c:v>Hafrannsóknir</c:v>
                </c:pt>
                <c:pt idx="11">
                  <c:v>Haf- og ferskvatnslíffræði</c:v>
                </c:pt>
                <c:pt idx="12">
                  <c:v>Loftlagsbreytingar</c:v>
                </c:pt>
                <c:pt idx="13">
                  <c:v>Sjávarútvegur og fiskeldi</c:v>
                </c:pt>
                <c:pt idx="14">
                  <c:v>Pólrannsóknir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0.33</c:v>
                </c:pt>
                <c:pt idx="1">
                  <c:v>0.49</c:v>
                </c:pt>
                <c:pt idx="2">
                  <c:v>0.86</c:v>
                </c:pt>
                <c:pt idx="3">
                  <c:v>0.97</c:v>
                </c:pt>
                <c:pt idx="4">
                  <c:v>1.01</c:v>
                </c:pt>
                <c:pt idx="5">
                  <c:v>1.1399999999999999</c:v>
                </c:pt>
                <c:pt idx="6">
                  <c:v>1.37</c:v>
                </c:pt>
                <c:pt idx="7">
                  <c:v>1.4</c:v>
                </c:pt>
                <c:pt idx="8">
                  <c:v>1.67</c:v>
                </c:pt>
                <c:pt idx="9">
                  <c:v>1.76</c:v>
                </c:pt>
                <c:pt idx="10">
                  <c:v>1.82</c:v>
                </c:pt>
                <c:pt idx="11">
                  <c:v>2.67</c:v>
                </c:pt>
                <c:pt idx="12">
                  <c:v>3.04</c:v>
                </c:pt>
                <c:pt idx="13">
                  <c:v>10.94</c:v>
                </c:pt>
                <c:pt idx="14">
                  <c:v>14.05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189760"/>
        <c:axId val="157463680"/>
        <c:axId val="0"/>
      </c:bar3DChart>
      <c:catAx>
        <c:axId val="1531897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is-IS"/>
          </a:p>
        </c:txPr>
        <c:crossAx val="157463680"/>
        <c:crosses val="autoZero"/>
        <c:auto val="1"/>
        <c:lblAlgn val="ctr"/>
        <c:lblOffset val="100"/>
        <c:noMultiLvlLbl val="0"/>
      </c:catAx>
      <c:valAx>
        <c:axId val="157463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is-IS"/>
          </a:p>
        </c:txPr>
        <c:crossAx val="1531897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is-I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s-I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000" dirty="0" smtClean="0"/>
                      <a:t>1,03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is-I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Sheet1!$A$2:$A$16</c:f>
              <c:strCache>
                <c:ptCount val="15"/>
                <c:pt idx="0">
                  <c:v>Orkurannsóknir</c:v>
                </c:pt>
                <c:pt idx="1">
                  <c:v>Velferð og vinna</c:v>
                </c:pt>
                <c:pt idx="2">
                  <c:v>Menntavísindi</c:v>
                </c:pt>
                <c:pt idx="3">
                  <c:v>Sjávarútvegur og fiskeldi</c:v>
                </c:pt>
                <c:pt idx="4">
                  <c:v>Hafrannsóknir</c:v>
                </c:pt>
                <c:pt idx="5">
                  <c:v>Matvælarannsóknir</c:v>
                </c:pt>
                <c:pt idx="6">
                  <c:v>Haf- og ferskvatnslíffræði</c:v>
                </c:pt>
                <c:pt idx="7">
                  <c:v>Umhverfistækni</c:v>
                </c:pt>
                <c:pt idx="8">
                  <c:v>Pólrannsóknir</c:v>
                </c:pt>
                <c:pt idx="9">
                  <c:v>Örtækni</c:v>
                </c:pt>
                <c:pt idx="10">
                  <c:v>Upplýsingatækni</c:v>
                </c:pt>
                <c:pt idx="11">
                  <c:v>Umhverfisrannsóknir</c:v>
                </c:pt>
                <c:pt idx="12">
                  <c:v>Heilsa og umönnun</c:v>
                </c:pt>
                <c:pt idx="13">
                  <c:v>Loftlagsbreytingar</c:v>
                </c:pt>
                <c:pt idx="14">
                  <c:v>Líftækni</c:v>
                </c:pt>
              </c:strCache>
            </c:strRef>
          </c:cat>
          <c:val>
            <c:numRef>
              <c:f>Sheet1!$B$2:$B$16</c:f>
              <c:numCache>
                <c:formatCode>0.00</c:formatCode>
                <c:ptCount val="15"/>
                <c:pt idx="0">
                  <c:v>0.87</c:v>
                </c:pt>
                <c:pt idx="1">
                  <c:v>1.03</c:v>
                </c:pt>
                <c:pt idx="2">
                  <c:v>1.1299999999999999</c:v>
                </c:pt>
                <c:pt idx="3">
                  <c:v>1.23</c:v>
                </c:pt>
                <c:pt idx="4">
                  <c:v>1.23</c:v>
                </c:pt>
                <c:pt idx="5">
                  <c:v>1.25</c:v>
                </c:pt>
                <c:pt idx="6">
                  <c:v>1.46</c:v>
                </c:pt>
                <c:pt idx="7">
                  <c:v>1.54</c:v>
                </c:pt>
                <c:pt idx="8">
                  <c:v>1.55</c:v>
                </c:pt>
                <c:pt idx="9">
                  <c:v>1.79</c:v>
                </c:pt>
                <c:pt idx="10">
                  <c:v>1.83</c:v>
                </c:pt>
                <c:pt idx="11">
                  <c:v>1.9</c:v>
                </c:pt>
                <c:pt idx="12">
                  <c:v>1.92</c:v>
                </c:pt>
                <c:pt idx="13">
                  <c:v>1.99</c:v>
                </c:pt>
                <c:pt idx="14">
                  <c:v>2.41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529984"/>
        <c:axId val="157531520"/>
        <c:axId val="0"/>
      </c:bar3DChart>
      <c:catAx>
        <c:axId val="1575299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is-IS"/>
          </a:p>
        </c:txPr>
        <c:crossAx val="157531520"/>
        <c:crosses val="autoZero"/>
        <c:auto val="1"/>
        <c:lblAlgn val="ctr"/>
        <c:lblOffset val="100"/>
        <c:noMultiLvlLbl val="0"/>
      </c:catAx>
      <c:valAx>
        <c:axId val="157531520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is-IS"/>
          </a:p>
        </c:txPr>
        <c:crossAx val="1575299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is-I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0.39291</cdr:x>
      <cdr:y>0.02949</cdr:y>
    </cdr:from>
    <cdr:to>
      <cdr:x>0.393</cdr:x>
      <cdr:y>0.86812</cdr:y>
    </cdr:to>
    <cdr:cxnSp macro="">
      <cdr:nvCxnSpPr>
        <cdr:cNvPr id="5" name="Straight Connector 4"/>
        <cdr:cNvCxnSpPr/>
      </cdr:nvCxnSpPr>
      <cdr:spPr>
        <a:xfrm xmlns:a="http://schemas.openxmlformats.org/drawingml/2006/main">
          <a:off x="2130481" y="76445"/>
          <a:ext cx="470" cy="2173774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206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0.33433</cdr:x>
      <cdr:y>0.04782</cdr:y>
    </cdr:from>
    <cdr:to>
      <cdr:x>0.33449</cdr:x>
      <cdr:y>0.89458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>
          <a:off x="1789044" y="158537"/>
          <a:ext cx="834" cy="2807298"/>
        </a:xfrm>
        <a:prstGeom xmlns:a="http://schemas.openxmlformats.org/drawingml/2006/main" prst="line">
          <a:avLst/>
        </a:prstGeom>
        <a:ln xmlns:a="http://schemas.openxmlformats.org/drawingml/2006/main" w="381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0.55253</cdr:x>
      <cdr:y>0.0392</cdr:y>
    </cdr:from>
    <cdr:to>
      <cdr:x>0.55652</cdr:x>
      <cdr:y>0.90953</cdr:y>
    </cdr:to>
    <cdr:cxnSp macro="">
      <cdr:nvCxnSpPr>
        <cdr:cNvPr id="2" name="Straight Connector 1"/>
        <cdr:cNvCxnSpPr/>
      </cdr:nvCxnSpPr>
      <cdr:spPr>
        <a:xfrm xmlns:a="http://schemas.openxmlformats.org/drawingml/2006/main" flipH="1">
          <a:off x="2956666" y="129974"/>
          <a:ext cx="21372" cy="2885427"/>
        </a:xfrm>
        <a:prstGeom xmlns:a="http://schemas.openxmlformats.org/drawingml/2006/main" prst="line">
          <a:avLst/>
        </a:prstGeom>
        <a:ln xmlns:a="http://schemas.openxmlformats.org/drawingml/2006/main" w="28575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CC9E-0B23-433C-ABE7-71FBC37A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Brá Aðalsteinsdóttir</dc:creator>
  <cp:lastModifiedBy>Elva Brá Aðalsteinsdóttir</cp:lastModifiedBy>
  <cp:revision>2</cp:revision>
  <dcterms:created xsi:type="dcterms:W3CDTF">2014-04-11T10:51:00Z</dcterms:created>
  <dcterms:modified xsi:type="dcterms:W3CDTF">2014-04-11T10:51:00Z</dcterms:modified>
</cp:coreProperties>
</file>